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801"/>
      </w:tblGrid>
      <w:tr w:rsidR="00E84F0B" w:rsidRPr="008B190E" w:rsidTr="0098400F">
        <w:trPr>
          <w:cantSplit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bookmarkStart w:id="0" w:name="_Hlk120543176"/>
          <w:p w:rsidR="00E84F0B" w:rsidRPr="008B190E" w:rsidRDefault="00E84F0B" w:rsidP="00396985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MS Mincho" w:hAnsi="Times New Roman" w:cs="Courier New"/>
                <w:b/>
                <w:sz w:val="24"/>
                <w:szCs w:val="20"/>
                <w:lang w:eastAsia="ru-RU"/>
              </w:rPr>
            </w:pPr>
            <w:r w:rsidRPr="008B190E"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010CB1" wp14:editId="4550CA9A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13970</wp:posOffset>
                      </wp:positionV>
                      <wp:extent cx="782955" cy="827405"/>
                      <wp:effectExtent l="0" t="0" r="2540" b="3175"/>
                      <wp:wrapSquare wrapText="bothSides"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2955" cy="827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4F0B" w:rsidRDefault="00E84F0B" w:rsidP="00E84F0B">
                                  <w:r>
                                    <w:object w:dxaOrig="2041" w:dyaOrig="2961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5" type="#_x0000_t75" style="width:50.7pt;height:57.6pt" o:ole="" fillcolor="window">
                                        <v:imagedata r:id="rId9" o:title=""/>
                                      </v:shape>
                                      <o:OLEObject Type="Embed" ProgID="Word.Picture.8" ShapeID="_x0000_i1025" DrawAspect="Content" ObjectID="_1774089404" r:id="rId10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A010C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left:0;text-align:left;margin-left:36pt;margin-top:1.1pt;width:61.65pt;height:6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" stroked="f">
                      <v:textbox>
                        <w:txbxContent>
                          <w:p w:rsidR="00E84F0B" w:rsidRDefault="00E84F0B" w:rsidP="00E84F0B">
                            <w:r>
                              <w:object w:dxaOrig="2041" w:dyaOrig="2961">
                                <v:shape id="_x0000_i1026" type="#_x0000_t75" style="width:47.3pt;height:58.05pt" fillcolor="window">
                                  <v:imagedata r:id="rId11" o:title=""/>
                                </v:shape>
                                <o:OLEObject Type="Embed" ProgID="Word.Picture.8" ShapeID="_x0000_i1026" DrawAspect="Content" ObjectID="_1764161218" r:id="rId12"/>
                              </w:objec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E84F0B" w:rsidRPr="008B190E" w:rsidRDefault="00E84F0B" w:rsidP="00396985">
            <w:pPr>
              <w:spacing w:after="0" w:line="240" w:lineRule="auto"/>
              <w:jc w:val="center"/>
              <w:rPr>
                <w:rFonts w:ascii="Times New Roman" w:eastAsia="MS Mincho" w:hAnsi="Times New Roman" w:cs="Courier New"/>
                <w:b/>
                <w:sz w:val="18"/>
                <w:szCs w:val="20"/>
                <w:lang w:eastAsia="ru-RU"/>
              </w:rPr>
            </w:pPr>
            <w:r w:rsidRPr="008B190E">
              <w:rPr>
                <w:rFonts w:ascii="Times New Roman" w:eastAsia="MS Mincho" w:hAnsi="Times New Roman" w:cs="Courier New"/>
                <w:b/>
                <w:sz w:val="18"/>
                <w:szCs w:val="20"/>
                <w:lang w:eastAsia="ru-RU"/>
              </w:rPr>
              <w:t>УНИВЕРСАЛЬНЫЙ КОММЕРЧЕСКИЙ БАНК «НОВОБАНК»</w:t>
            </w:r>
          </w:p>
          <w:p w:rsidR="00E84F0B" w:rsidRPr="008B190E" w:rsidRDefault="00E84F0B" w:rsidP="00396985">
            <w:pPr>
              <w:spacing w:after="0" w:line="240" w:lineRule="auto"/>
              <w:jc w:val="center"/>
              <w:rPr>
                <w:rFonts w:ascii="Times New Roman" w:eastAsia="MS Mincho" w:hAnsi="Times New Roman" w:cs="Courier New"/>
                <w:b/>
                <w:sz w:val="18"/>
                <w:szCs w:val="20"/>
                <w:lang w:eastAsia="ru-RU"/>
              </w:rPr>
            </w:pPr>
            <w:r w:rsidRPr="008B190E">
              <w:rPr>
                <w:rFonts w:ascii="Times New Roman" w:eastAsia="MS Mincho" w:hAnsi="Times New Roman" w:cs="Courier New"/>
                <w:b/>
                <w:sz w:val="18"/>
                <w:szCs w:val="20"/>
                <w:lang w:eastAsia="ru-RU"/>
              </w:rPr>
              <w:t>(ПУБЛИЧНОЕ АКЦИОНЕРНОЕ ОБЩЕСТВО)</w:t>
            </w:r>
          </w:p>
          <w:p w:rsidR="00E84F0B" w:rsidRPr="008B190E" w:rsidRDefault="00E84F0B" w:rsidP="00396985">
            <w:pPr>
              <w:spacing w:after="0" w:line="240" w:lineRule="auto"/>
              <w:jc w:val="right"/>
              <w:rPr>
                <w:rFonts w:ascii="Times New Roman" w:eastAsia="MS Mincho" w:hAnsi="Times New Roman" w:cs="Courier New"/>
                <w:b/>
                <w:sz w:val="24"/>
                <w:szCs w:val="20"/>
                <w:lang w:eastAsia="ru-RU"/>
              </w:rPr>
            </w:pPr>
          </w:p>
        </w:tc>
      </w:tr>
    </w:tbl>
    <w:p w:rsidR="00E84F0B" w:rsidRDefault="00E84F0B" w:rsidP="00E84F0B">
      <w:pPr>
        <w:pStyle w:val="a3"/>
        <w:jc w:val="center"/>
        <w:rPr>
          <w:rFonts w:ascii="Times New Roman" w:hAnsi="Times New Roman" w:cs="Times New Roman"/>
        </w:rPr>
      </w:pPr>
      <w:bookmarkStart w:id="1" w:name="_Hlk120543924"/>
      <w:bookmarkEnd w:id="0"/>
    </w:p>
    <w:bookmarkEnd w:id="1"/>
    <w:p w:rsidR="004042CA" w:rsidRPr="00D948C7" w:rsidRDefault="0098400F" w:rsidP="004042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948C7">
        <w:rPr>
          <w:rFonts w:ascii="Times New Roman" w:hAnsi="Times New Roman" w:cs="Times New Roman"/>
          <w:sz w:val="24"/>
          <w:szCs w:val="24"/>
        </w:rPr>
        <w:t>Условия вклада</w:t>
      </w:r>
      <w:r w:rsidR="00001C37" w:rsidRPr="00D948C7">
        <w:rPr>
          <w:rFonts w:ascii="Times New Roman" w:hAnsi="Times New Roman" w:cs="Times New Roman"/>
          <w:sz w:val="24"/>
          <w:szCs w:val="24"/>
        </w:rPr>
        <w:t xml:space="preserve"> </w:t>
      </w:r>
      <w:r w:rsidR="00C77F76" w:rsidRPr="00D948C7">
        <w:rPr>
          <w:rFonts w:ascii="Times New Roman" w:hAnsi="Times New Roman" w:cs="Times New Roman"/>
          <w:sz w:val="24"/>
          <w:szCs w:val="24"/>
        </w:rPr>
        <w:t>«</w:t>
      </w:r>
      <w:r w:rsidR="009504B0" w:rsidRPr="00D948C7">
        <w:rPr>
          <w:rFonts w:ascii="Times New Roman" w:hAnsi="Times New Roman" w:cs="Times New Roman"/>
          <w:sz w:val="24"/>
          <w:szCs w:val="24"/>
        </w:rPr>
        <w:t>Золотое время</w:t>
      </w:r>
      <w:r w:rsidR="00C77F76" w:rsidRPr="00D948C7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9923" w:type="dxa"/>
        <w:tblInd w:w="-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402"/>
        <w:gridCol w:w="2976"/>
        <w:gridCol w:w="2977"/>
      </w:tblGrid>
      <w:tr w:rsidR="005E26A2" w:rsidRPr="005E26A2" w:rsidTr="007519CF">
        <w:tc>
          <w:tcPr>
            <w:tcW w:w="56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26A2" w:rsidRPr="005E26A2" w:rsidRDefault="005E26A2" w:rsidP="005E2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115382765"/>
            <w:r w:rsidRPr="005E26A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26A2" w:rsidRPr="005E26A2" w:rsidRDefault="005E26A2" w:rsidP="005E2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6A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Условие договора банковского вклада</w:t>
            </w:r>
          </w:p>
        </w:tc>
        <w:tc>
          <w:tcPr>
            <w:tcW w:w="5953" w:type="dxa"/>
            <w:gridSpan w:val="2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26A2" w:rsidRPr="005E26A2" w:rsidRDefault="005E26A2" w:rsidP="005E2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6A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Содержание условия договора банковского вклада</w:t>
            </w:r>
          </w:p>
        </w:tc>
      </w:tr>
      <w:tr w:rsidR="005E26A2" w:rsidRPr="005E26A2" w:rsidTr="007519CF">
        <w:trPr>
          <w:trHeight w:val="192"/>
        </w:trPr>
        <w:tc>
          <w:tcPr>
            <w:tcW w:w="56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5E26A2" w:rsidRPr="005E26A2" w:rsidRDefault="005E26A2" w:rsidP="005E2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3" w:name="_Hlk115383109"/>
            <w:r w:rsidRPr="005E26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5E26A2" w:rsidRPr="005E26A2" w:rsidRDefault="005E26A2" w:rsidP="005E2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26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953" w:type="dxa"/>
            <w:gridSpan w:val="2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5E26A2" w:rsidRPr="005E26A2" w:rsidRDefault="005E26A2" w:rsidP="005E2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bookmarkEnd w:id="2"/>
      <w:bookmarkEnd w:id="3"/>
      <w:tr w:rsidR="005E26A2" w:rsidRPr="005E26A2" w:rsidTr="007519CF">
        <w:trPr>
          <w:trHeight w:val="192"/>
        </w:trPr>
        <w:tc>
          <w:tcPr>
            <w:tcW w:w="56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26A2" w:rsidRPr="005E26A2" w:rsidRDefault="005E26A2" w:rsidP="005E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26A2" w:rsidRPr="005E26A2" w:rsidRDefault="005E26A2" w:rsidP="005E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вклада</w:t>
            </w:r>
          </w:p>
        </w:tc>
        <w:tc>
          <w:tcPr>
            <w:tcW w:w="5953" w:type="dxa"/>
            <w:gridSpan w:val="2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26A2" w:rsidRPr="005E26A2" w:rsidRDefault="005E26A2" w:rsidP="00546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Срочный вклад</w:t>
            </w:r>
            <w:r w:rsidR="0054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Вкладчиков, </w:t>
            </w:r>
            <w:r w:rsidR="00546931" w:rsidRPr="005E26A2">
              <w:rPr>
                <w:rFonts w:ascii="Times New Roman" w:eastAsia="MS Mincho" w:hAnsi="Times New Roman"/>
                <w:noProof/>
                <w:sz w:val="24"/>
                <w:szCs w:val="24"/>
                <w:lang w:eastAsia="ru-RU"/>
              </w:rPr>
              <w:t>получ</w:t>
            </w:r>
            <w:r w:rsidR="00546931">
              <w:rPr>
                <w:rFonts w:ascii="Times New Roman" w:eastAsia="MS Mincho" w:hAnsi="Times New Roman"/>
                <w:noProof/>
                <w:sz w:val="24"/>
                <w:szCs w:val="24"/>
                <w:lang w:eastAsia="ru-RU"/>
              </w:rPr>
              <w:t>ающих</w:t>
            </w:r>
            <w:r w:rsidR="00546931" w:rsidRPr="005E26A2">
              <w:rPr>
                <w:rFonts w:ascii="Times New Roman" w:eastAsia="MS Mincho" w:hAnsi="Times New Roman"/>
                <w:noProof/>
                <w:sz w:val="24"/>
                <w:szCs w:val="24"/>
                <w:lang w:eastAsia="ru-RU"/>
              </w:rPr>
              <w:t xml:space="preserve"> пенсионны</w:t>
            </w:r>
            <w:r w:rsidR="00546931">
              <w:rPr>
                <w:rFonts w:ascii="Times New Roman" w:eastAsia="MS Mincho" w:hAnsi="Times New Roman"/>
                <w:noProof/>
                <w:sz w:val="24"/>
                <w:szCs w:val="24"/>
                <w:lang w:eastAsia="ru-RU"/>
              </w:rPr>
              <w:t>е</w:t>
            </w:r>
            <w:r w:rsidR="00546931" w:rsidRPr="005E26A2">
              <w:rPr>
                <w:rFonts w:ascii="Times New Roman" w:eastAsia="MS Mincho" w:hAnsi="Times New Roman"/>
                <w:noProof/>
                <w:sz w:val="24"/>
                <w:szCs w:val="24"/>
                <w:lang w:eastAsia="ru-RU"/>
              </w:rPr>
              <w:t xml:space="preserve"> выплат</w:t>
            </w:r>
            <w:r w:rsidR="00546931">
              <w:rPr>
                <w:rFonts w:ascii="Times New Roman" w:eastAsia="MS Mincho" w:hAnsi="Times New Roman"/>
                <w:noProof/>
                <w:sz w:val="24"/>
                <w:szCs w:val="24"/>
                <w:lang w:eastAsia="ru-RU"/>
              </w:rPr>
              <w:t>ы</w:t>
            </w:r>
            <w:r w:rsidR="00546931" w:rsidRPr="005E26A2">
              <w:rPr>
                <w:rFonts w:ascii="Times New Roman" w:eastAsia="MS Mincho" w:hAnsi="Times New Roman"/>
                <w:noProof/>
                <w:sz w:val="24"/>
                <w:szCs w:val="24"/>
                <w:lang w:eastAsia="ru-RU"/>
              </w:rPr>
              <w:t xml:space="preserve"> на счет</w:t>
            </w:r>
            <w:r w:rsidR="00546931">
              <w:rPr>
                <w:rFonts w:ascii="Times New Roman" w:eastAsia="MS Mincho" w:hAnsi="Times New Roman"/>
                <w:noProof/>
                <w:sz w:val="24"/>
                <w:szCs w:val="24"/>
                <w:lang w:eastAsia="ru-RU"/>
              </w:rPr>
              <w:t>а</w:t>
            </w:r>
            <w:r w:rsidR="00546931" w:rsidRPr="005E26A2">
              <w:rPr>
                <w:rFonts w:ascii="Times New Roman" w:eastAsia="MS Mincho" w:hAnsi="Times New Roman"/>
                <w:noProof/>
                <w:sz w:val="24"/>
                <w:szCs w:val="24"/>
                <w:lang w:eastAsia="ru-RU"/>
              </w:rPr>
              <w:t>, открыты</w:t>
            </w:r>
            <w:r w:rsidR="00546931">
              <w:rPr>
                <w:rFonts w:ascii="Times New Roman" w:eastAsia="MS Mincho" w:hAnsi="Times New Roman"/>
                <w:noProof/>
                <w:sz w:val="24"/>
                <w:szCs w:val="24"/>
                <w:lang w:eastAsia="ru-RU"/>
              </w:rPr>
              <w:t>е</w:t>
            </w:r>
            <w:r w:rsidR="00546931" w:rsidRPr="005E26A2">
              <w:rPr>
                <w:rFonts w:ascii="Times New Roman" w:eastAsia="MS Mincho" w:hAnsi="Times New Roman"/>
                <w:noProof/>
                <w:sz w:val="24"/>
                <w:szCs w:val="24"/>
                <w:lang w:eastAsia="ru-RU"/>
              </w:rPr>
              <w:t xml:space="preserve"> в ПАО УКБ «Новобанк»</w:t>
            </w:r>
          </w:p>
        </w:tc>
      </w:tr>
      <w:tr w:rsidR="005E26A2" w:rsidRPr="005E26A2" w:rsidTr="007519CF">
        <w:trPr>
          <w:trHeight w:val="532"/>
        </w:trPr>
        <w:tc>
          <w:tcPr>
            <w:tcW w:w="56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26A2" w:rsidRPr="005E26A2" w:rsidRDefault="005E26A2" w:rsidP="005E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26A2" w:rsidRPr="005E26A2" w:rsidRDefault="005E26A2" w:rsidP="005E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и валюта вклада</w:t>
            </w:r>
          </w:p>
        </w:tc>
        <w:tc>
          <w:tcPr>
            <w:tcW w:w="5953" w:type="dxa"/>
            <w:gridSpan w:val="2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8400F" w:rsidRDefault="0098400F" w:rsidP="0098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вклада: Российский рубль</w:t>
            </w:r>
          </w:p>
          <w:p w:rsidR="0098400F" w:rsidRDefault="0098400F" w:rsidP="0098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Минимальная сумма вклада: 1 000,00 рублей</w:t>
            </w:r>
          </w:p>
          <w:p w:rsidR="005E26A2" w:rsidRPr="005E26A2" w:rsidRDefault="0098400F" w:rsidP="0098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сумма вклада: без ограничений</w:t>
            </w:r>
          </w:p>
        </w:tc>
      </w:tr>
      <w:tr w:rsidR="005E26A2" w:rsidRPr="005E26A2" w:rsidTr="007519CF">
        <w:tc>
          <w:tcPr>
            <w:tcW w:w="56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26A2" w:rsidRPr="005E26A2" w:rsidRDefault="005E26A2" w:rsidP="005E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26A2" w:rsidRPr="005E26A2" w:rsidRDefault="005E26A2" w:rsidP="005E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пополнения вклада, имеющиеся ограничения на пополнение вклада</w:t>
            </w:r>
          </w:p>
        </w:tc>
        <w:tc>
          <w:tcPr>
            <w:tcW w:w="5953" w:type="dxa"/>
            <w:gridSpan w:val="2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26A2" w:rsidRPr="005E26A2" w:rsidRDefault="005E26A2" w:rsidP="005E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взносы принимаются в любых суммах в течение всего срока действия договора</w:t>
            </w:r>
          </w:p>
        </w:tc>
      </w:tr>
      <w:tr w:rsidR="005E26A2" w:rsidRPr="005E26A2" w:rsidTr="007519CF">
        <w:trPr>
          <w:trHeight w:val="436"/>
        </w:trPr>
        <w:tc>
          <w:tcPr>
            <w:tcW w:w="568" w:type="dxa"/>
            <w:tcBorders>
              <w:top w:val="single" w:sz="6" w:space="0" w:color="B4B0B0"/>
              <w:left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26A2" w:rsidRPr="005E26A2" w:rsidRDefault="005E26A2" w:rsidP="005E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6" w:space="0" w:color="B4B0B0"/>
              <w:left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8400F" w:rsidRPr="005E26A2" w:rsidRDefault="005E26A2" w:rsidP="0098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6A2">
              <w:rPr>
                <w:rFonts w:ascii="Times New Roman" w:hAnsi="Times New Roman" w:cs="Times New Roman"/>
                <w:sz w:val="24"/>
                <w:szCs w:val="24"/>
              </w:rPr>
              <w:t xml:space="preserve">Срок вклада </w:t>
            </w:r>
          </w:p>
          <w:p w:rsidR="005E26A2" w:rsidRPr="005E26A2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gridSpan w:val="2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26A2" w:rsidRPr="005E26A2" w:rsidRDefault="005E26A2" w:rsidP="005E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(Триста шестьдесят) дней</w:t>
            </w:r>
          </w:p>
        </w:tc>
      </w:tr>
      <w:tr w:rsidR="00547075" w:rsidRPr="005E26A2" w:rsidTr="006944CD">
        <w:trPr>
          <w:trHeight w:val="835"/>
        </w:trPr>
        <w:tc>
          <w:tcPr>
            <w:tcW w:w="56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47075" w:rsidRPr="005E26A2" w:rsidRDefault="00547075" w:rsidP="005E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47075" w:rsidRPr="005E26A2" w:rsidRDefault="00547075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6A2">
              <w:rPr>
                <w:rFonts w:ascii="Times New Roman" w:hAnsi="Times New Roman" w:cs="Times New Roman"/>
                <w:sz w:val="24"/>
                <w:szCs w:val="24"/>
              </w:rPr>
              <w:t xml:space="preserve">Процентная ставка (процентные ставки) по вкладу в процентах годовых - по договорам банковского вклада, в которых фиксированная величина или фиксированные величины процентной ставки стороны договора определяют в договоре банковского вклада при его заключении (постоянная процентная ставка). При наличии нескольких процентных ставок по вкладу указываются условие и период времени применения каждой из них. По вкладам до востребования процентная ставка указывается на дату заключения договора банковского вклада, а также указывается информация о возможности изменения банком размера выплачиваемых процентов в случае, если такая </w:t>
            </w:r>
            <w:r w:rsidRPr="005E26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возможность предусмотрена договором банковского вклада.</w:t>
            </w:r>
          </w:p>
          <w:p w:rsidR="00547075" w:rsidRPr="005E26A2" w:rsidRDefault="00547075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6A2">
              <w:rPr>
                <w:rFonts w:ascii="Times New Roman" w:hAnsi="Times New Roman" w:cs="Times New Roman"/>
                <w:sz w:val="24"/>
                <w:szCs w:val="24"/>
              </w:rPr>
              <w:t>При применении переменной процентной ставки (процентной ставки, содержащей переменные величины, значения которых определяются исходя из обстоятельств, не зависящих от банка и аффилированных с ним лиц) - порядок ее определения и значение на дату заключения договора банковского вклада, порядок и срок информирования вкладчика об изменении такой процентной ставки</w:t>
            </w:r>
          </w:p>
        </w:tc>
        <w:tc>
          <w:tcPr>
            <w:tcW w:w="2976" w:type="dxa"/>
            <w:tcBorders>
              <w:top w:val="single" w:sz="6" w:space="0" w:color="B4B0B0"/>
              <w:left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47075" w:rsidRDefault="00645EE1" w:rsidP="005E26A2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MS Mincho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noProof/>
                <w:sz w:val="24"/>
                <w:szCs w:val="24"/>
                <w:lang w:eastAsia="ru-RU"/>
              </w:rPr>
              <w:lastRenderedPageBreak/>
              <w:t>11</w:t>
            </w:r>
            <w:r w:rsidR="004E7F8D">
              <w:rPr>
                <w:rFonts w:ascii="Times New Roman" w:eastAsia="MS Mincho" w:hAnsi="Times New Roman"/>
                <w:noProof/>
                <w:sz w:val="24"/>
                <w:szCs w:val="24"/>
                <w:lang w:eastAsia="ru-RU"/>
              </w:rPr>
              <w:t>,00</w:t>
            </w:r>
            <w:r w:rsidR="00547075">
              <w:rPr>
                <w:rFonts w:ascii="Times New Roman" w:eastAsia="MS Mincho" w:hAnsi="Times New Roman"/>
                <w:noProof/>
                <w:sz w:val="24"/>
                <w:szCs w:val="24"/>
                <w:lang w:eastAsia="ru-RU"/>
              </w:rPr>
              <w:t xml:space="preserve"> процентов</w:t>
            </w:r>
            <w:r w:rsidR="00547075" w:rsidRPr="005E26A2">
              <w:rPr>
                <w:rFonts w:ascii="Times New Roman" w:eastAsia="MS Mincho" w:hAnsi="Times New Roman"/>
                <w:noProof/>
                <w:sz w:val="24"/>
                <w:szCs w:val="24"/>
                <w:lang w:eastAsia="ru-RU"/>
              </w:rPr>
              <w:t xml:space="preserve"> годовых</w:t>
            </w:r>
          </w:p>
          <w:p w:rsidR="00547075" w:rsidRDefault="00547075" w:rsidP="005E26A2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MS Mincho" w:hAnsi="Times New Roman"/>
                <w:noProof/>
                <w:sz w:val="24"/>
                <w:szCs w:val="24"/>
                <w:lang w:eastAsia="ru-RU"/>
              </w:rPr>
            </w:pPr>
          </w:p>
          <w:p w:rsidR="00547075" w:rsidRPr="005E26A2" w:rsidRDefault="00547075" w:rsidP="005E26A2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MS Mincho" w:hAnsi="Times New Roman"/>
                <w:noProof/>
                <w:sz w:val="24"/>
                <w:szCs w:val="24"/>
                <w:lang w:eastAsia="ru-RU"/>
              </w:rPr>
            </w:pPr>
            <w:r w:rsidRPr="005E2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Условие применения ставки: </w:t>
            </w:r>
            <w:r w:rsidRPr="005E26A2">
              <w:rPr>
                <w:rFonts w:ascii="Times New Roman" w:eastAsia="MS Mincho" w:hAnsi="Times New Roman"/>
                <w:noProof/>
                <w:sz w:val="24"/>
                <w:szCs w:val="24"/>
                <w:lang w:eastAsia="ru-RU"/>
              </w:rPr>
              <w:t>получение пенсионных выплат на счет ВКЛАДЧИКА, открытый в ПАО УКБ «Новобанк».</w:t>
            </w:r>
          </w:p>
          <w:p w:rsidR="00547075" w:rsidRPr="005E26A2" w:rsidRDefault="00547075" w:rsidP="005E26A2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MS Mincho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B4B0B0"/>
              <w:left w:val="single" w:sz="6" w:space="0" w:color="B4B0B0"/>
              <w:right w:val="single" w:sz="6" w:space="0" w:color="B4B0B0"/>
            </w:tcBorders>
            <w:vAlign w:val="center"/>
          </w:tcPr>
          <w:p w:rsidR="00547075" w:rsidRDefault="00547075" w:rsidP="00547075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Минимальная гарантированная ставка по вкладу</w:t>
            </w:r>
          </w:p>
          <w:p w:rsidR="00547075" w:rsidRPr="005E26A2" w:rsidRDefault="00645EE1" w:rsidP="00547075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4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E7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93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4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процентов годовых</w:t>
            </w:r>
            <w:r w:rsidR="00393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5E26A2" w:rsidRPr="005E26A2" w:rsidTr="007519CF">
        <w:tc>
          <w:tcPr>
            <w:tcW w:w="56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5E26A2" w:rsidRPr="005E26A2" w:rsidRDefault="005E26A2" w:rsidP="005E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402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5E26A2" w:rsidRPr="005E26A2" w:rsidRDefault="005E26A2" w:rsidP="005E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выплаты вкладчику процентов по вкладу</w:t>
            </w:r>
          </w:p>
        </w:tc>
        <w:tc>
          <w:tcPr>
            <w:tcW w:w="5953" w:type="dxa"/>
            <w:gridSpan w:val="2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5E26A2" w:rsidRPr="005E26A2" w:rsidRDefault="005E26A2" w:rsidP="005E2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6A2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Начисленные проценты к сумме вклада не присоединяются. Начисленные проценты могут быть выплачены по желанию Вкладчика как наличными деньгами, так и путем перечисления на текущий счет/счет карты/счет «до востребования», открытые в ПАО УКБ «Новобанк».</w:t>
            </w:r>
          </w:p>
        </w:tc>
      </w:tr>
      <w:tr w:rsidR="005E26A2" w:rsidRPr="005E26A2" w:rsidTr="007519CF">
        <w:tc>
          <w:tcPr>
            <w:tcW w:w="56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26A2" w:rsidRPr="005E26A2" w:rsidRDefault="005E26A2" w:rsidP="005E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26A2" w:rsidRPr="005E26A2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6A2">
              <w:rPr>
                <w:rFonts w:ascii="Times New Roman" w:hAnsi="Times New Roman" w:cs="Times New Roman"/>
                <w:sz w:val="24"/>
                <w:szCs w:val="24"/>
              </w:rPr>
              <w:t>Процентная ставка (процентные ставки) либо порядок ее (их) определения при досрочном возврате суммы срочного вклада или ее части по требованию вкладчика</w:t>
            </w:r>
          </w:p>
          <w:p w:rsidR="005E26A2" w:rsidRPr="005E26A2" w:rsidRDefault="005E26A2" w:rsidP="005E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gridSpan w:val="2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5E26A2" w:rsidRPr="005E26A2" w:rsidRDefault="005E26A2" w:rsidP="005E26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6A2">
              <w:rPr>
                <w:rFonts w:ascii="Times New Roman" w:hAnsi="Times New Roman" w:cs="Times New Roman"/>
                <w:sz w:val="24"/>
                <w:szCs w:val="24"/>
              </w:rPr>
              <w:t>При досрочном востребовании суммы вклада до дня окончания срока договора, проценты за последний неполный месяц хранения вклада начисляются на сумму вклада по ставке 0,3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процентов</w:t>
            </w:r>
            <w:r w:rsidRPr="005E26A2">
              <w:rPr>
                <w:rFonts w:ascii="Times New Roman" w:hAnsi="Times New Roman" w:cs="Times New Roman"/>
                <w:sz w:val="24"/>
                <w:szCs w:val="24"/>
              </w:rPr>
              <w:t xml:space="preserve"> годовых. </w:t>
            </w:r>
          </w:p>
        </w:tc>
      </w:tr>
      <w:tr w:rsidR="005E26A2" w:rsidRPr="005E26A2" w:rsidTr="007519CF">
        <w:tc>
          <w:tcPr>
            <w:tcW w:w="56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26A2" w:rsidRPr="005E26A2" w:rsidRDefault="005E26A2" w:rsidP="005E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26A2" w:rsidRPr="005E26A2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6A2">
              <w:rPr>
                <w:rFonts w:ascii="Times New Roman" w:hAnsi="Times New Roman" w:cs="Times New Roman"/>
                <w:sz w:val="24"/>
                <w:szCs w:val="24"/>
              </w:rPr>
              <w:t>Возможность досрочного возврата части суммы срочного вклада без изменения условий о размере процентов и периодичности их выплаты, условия такого досрочного возврата, размер неснижаемого остатка суммы вклада</w:t>
            </w:r>
          </w:p>
          <w:p w:rsidR="005E26A2" w:rsidRPr="005E26A2" w:rsidRDefault="005E26A2" w:rsidP="005E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gridSpan w:val="2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5E26A2" w:rsidRPr="005E26A2" w:rsidRDefault="005E26A2" w:rsidP="005E2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применимо</w:t>
            </w:r>
          </w:p>
        </w:tc>
      </w:tr>
      <w:tr w:rsidR="005E26A2" w:rsidRPr="005E26A2" w:rsidTr="007519CF">
        <w:tc>
          <w:tcPr>
            <w:tcW w:w="56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26A2" w:rsidRPr="005E26A2" w:rsidRDefault="005E26A2" w:rsidP="005E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26A2" w:rsidRPr="005E26A2" w:rsidRDefault="005E26A2" w:rsidP="005E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и порядок продления срока срочного вклада</w:t>
            </w:r>
          </w:p>
        </w:tc>
        <w:tc>
          <w:tcPr>
            <w:tcW w:w="5953" w:type="dxa"/>
            <w:gridSpan w:val="2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5E26A2" w:rsidRPr="005E26A2" w:rsidRDefault="005E26A2" w:rsidP="005E26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применимо</w:t>
            </w:r>
          </w:p>
        </w:tc>
      </w:tr>
      <w:tr w:rsidR="005E26A2" w:rsidRPr="005E26A2" w:rsidTr="007519CF">
        <w:tc>
          <w:tcPr>
            <w:tcW w:w="56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26A2" w:rsidRPr="005E26A2" w:rsidRDefault="005E26A2" w:rsidP="005E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_Hlk108633394"/>
            <w:r w:rsidRPr="005E2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26A2" w:rsidRPr="005E26A2" w:rsidRDefault="005E26A2" w:rsidP="005E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обмена информацией между банком и вкладчиком</w:t>
            </w:r>
          </w:p>
        </w:tc>
        <w:tc>
          <w:tcPr>
            <w:tcW w:w="5953" w:type="dxa"/>
            <w:gridSpan w:val="2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9440C" w:rsidRPr="00765FAA" w:rsidRDefault="00F9440C" w:rsidP="00F94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FAA">
              <w:rPr>
                <w:rFonts w:ascii="Times New Roman" w:eastAsia="Times New Roman" w:hAnsi="Times New Roman" w:cs="Times New Roman"/>
                <w:lang w:eastAsia="ru-RU"/>
              </w:rPr>
              <w:t xml:space="preserve">Обмен информацией между Банком и Вкладчиком (в том числе информирование Банком Вкладчика об окончании срока Вклада) осуществляется одним из следующим </w:t>
            </w:r>
            <w:r w:rsidRPr="00765FA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способов: </w:t>
            </w:r>
          </w:p>
          <w:p w:rsidR="00F9440C" w:rsidRPr="00765FAA" w:rsidRDefault="00F9440C" w:rsidP="00F94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FAA">
              <w:rPr>
                <w:rFonts w:ascii="Times New Roman" w:eastAsia="Times New Roman" w:hAnsi="Times New Roman" w:cs="Times New Roman"/>
                <w:lang w:eastAsia="ru-RU"/>
              </w:rPr>
              <w:t>- СМС - информированием на номер мобильного телефона: +7 ________________________</w:t>
            </w:r>
          </w:p>
          <w:p w:rsidR="005E26A2" w:rsidRPr="005E26A2" w:rsidRDefault="00F9440C" w:rsidP="00F94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FAA">
              <w:rPr>
                <w:rFonts w:ascii="Times New Roman" w:eastAsia="Times New Roman" w:hAnsi="Times New Roman" w:cs="Times New Roman"/>
                <w:lang w:eastAsia="ru-RU"/>
              </w:rPr>
              <w:t>- по электронной почте: ________________________</w:t>
            </w:r>
          </w:p>
        </w:tc>
      </w:tr>
      <w:bookmarkEnd w:id="4"/>
      <w:tr w:rsidR="005E26A2" w:rsidRPr="005E26A2" w:rsidTr="007519CF">
        <w:trPr>
          <w:trHeight w:val="1023"/>
        </w:trPr>
        <w:tc>
          <w:tcPr>
            <w:tcW w:w="56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5E26A2" w:rsidRPr="005E26A2" w:rsidRDefault="005E26A2" w:rsidP="005E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98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5E26A2" w:rsidRPr="005E26A2" w:rsidRDefault="005E26A2" w:rsidP="005E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Перечисление Вклада по окончании срока договора при невостребовании вклада</w:t>
            </w:r>
          </w:p>
        </w:tc>
        <w:tc>
          <w:tcPr>
            <w:tcW w:w="5953" w:type="dxa"/>
            <w:gridSpan w:val="2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5E26A2" w:rsidRPr="005E26A2" w:rsidRDefault="005E26A2" w:rsidP="005E2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невостребовании Вклада по окончании срока договора</w:t>
            </w:r>
            <w:r w:rsidR="00001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2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Вклада вместе с начисленными процентами перечисляется на текущий счет/счет до востребования/счет карты Вкладчика, открытый в ПАО УКБ «Новобанк».</w:t>
            </w:r>
          </w:p>
        </w:tc>
      </w:tr>
      <w:tr w:rsidR="00515A43" w:rsidRPr="00110D1C" w:rsidTr="00515A43">
        <w:trPr>
          <w:trHeight w:val="1023"/>
        </w:trPr>
        <w:tc>
          <w:tcPr>
            <w:tcW w:w="56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515A43" w:rsidRPr="00110D1C" w:rsidRDefault="00515A43" w:rsidP="0072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515A43" w:rsidRPr="00110D1C" w:rsidRDefault="00515A43" w:rsidP="0072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вклада на третьих лиц, передача прав по вкладу третьим лицам</w:t>
            </w:r>
          </w:p>
        </w:tc>
        <w:tc>
          <w:tcPr>
            <w:tcW w:w="5953" w:type="dxa"/>
            <w:gridSpan w:val="2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515A43" w:rsidRPr="00110D1C" w:rsidRDefault="00515A43" w:rsidP="00726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применимо</w:t>
            </w:r>
          </w:p>
        </w:tc>
      </w:tr>
    </w:tbl>
    <w:p w:rsidR="00393D2D" w:rsidRDefault="00393D2D" w:rsidP="0098400F">
      <w:pPr>
        <w:spacing w:after="0" w:line="240" w:lineRule="auto"/>
        <w:ind w:left="-142"/>
        <w:jc w:val="both"/>
        <w:rPr>
          <w:rFonts w:ascii="Times New Roman" w:hAnsi="Times New Roman" w:cs="Times New Roman"/>
          <w:sz w:val="18"/>
          <w:szCs w:val="18"/>
        </w:rPr>
      </w:pPr>
      <w:bookmarkStart w:id="5" w:name="_Hlk120630131"/>
      <w:bookmarkStart w:id="6" w:name="_Hlk108380191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минимальная гарантированная ставка по вкладу рассчитана в соответствии </w:t>
      </w:r>
      <w:r w:rsidRPr="00393D2D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r w:rsidRPr="00393D2D">
        <w:rPr>
          <w:rFonts w:ascii="Times New Roman" w:hAnsi="Times New Roman" w:cs="Times New Roman"/>
          <w:sz w:val="18"/>
          <w:szCs w:val="18"/>
        </w:rPr>
        <w:t xml:space="preserve"> Порядком, установленным Банком России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393D2D" w:rsidRDefault="00393D2D" w:rsidP="0098400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bookmarkEnd w:id="5"/>
    <w:p w:rsidR="00393D2D" w:rsidRPr="00393D2D" w:rsidRDefault="00393D2D" w:rsidP="0098400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3D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84F0B" w:rsidRPr="008B190E" w:rsidRDefault="00E84F0B" w:rsidP="0098400F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8B1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Общие условия обслуживания вкладов, права, обязанности и ответственность сторон, гарантии Банка определены в Порядке </w:t>
      </w:r>
      <w:r w:rsidRPr="008B190E">
        <w:rPr>
          <w:rFonts w:ascii="Times New Roman" w:hAnsi="Times New Roman" w:cs="Times New Roman"/>
          <w:sz w:val="26"/>
          <w:szCs w:val="26"/>
        </w:rPr>
        <w:t>заключения и исполнения договора срочного вклада, являющимся неотъемлемой частью Правил комплексного банковского обслуживания физических лиц в ПАО УКБ «Новобанк».</w:t>
      </w:r>
    </w:p>
    <w:p w:rsidR="004E33F8" w:rsidRDefault="004E33F8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E84F0B" w:rsidRDefault="00E84F0B" w:rsidP="00E84F0B">
      <w:pPr>
        <w:pStyle w:val="a3"/>
        <w:jc w:val="both"/>
        <w:rPr>
          <w:rFonts w:ascii="Times New Roman" w:eastAsia="MS Mincho" w:hAnsi="Times New Roman" w:cs="Times New Roman"/>
          <w:bCs/>
        </w:rPr>
      </w:pPr>
      <w:bookmarkStart w:id="7" w:name="_GoBack"/>
      <w:bookmarkEnd w:id="7"/>
    </w:p>
    <w:tbl>
      <w:tblPr>
        <w:tblW w:w="999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1"/>
        <w:gridCol w:w="8114"/>
      </w:tblGrid>
      <w:tr w:rsidR="004E33F8" w:rsidRPr="008B190E" w:rsidTr="003D2E4D">
        <w:trPr>
          <w:cantSplit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4E33F8" w:rsidRPr="008B190E" w:rsidRDefault="004E33F8" w:rsidP="003D2E4D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MS Mincho" w:hAnsi="Times New Roman" w:cs="Courier New"/>
                <w:b/>
                <w:sz w:val="24"/>
                <w:szCs w:val="20"/>
                <w:lang w:eastAsia="ru-RU"/>
              </w:rPr>
            </w:pPr>
            <w:r w:rsidRPr="008B190E"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55CE63" wp14:editId="17DB692F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13970</wp:posOffset>
                      </wp:positionV>
                      <wp:extent cx="782955" cy="827405"/>
                      <wp:effectExtent l="0" t="0" r="2540" b="3175"/>
                      <wp:wrapSquare wrapText="bothSides"/>
                      <wp:docPr id="2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2955" cy="827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33F8" w:rsidRDefault="004E33F8" w:rsidP="004E33F8">
                                  <w:r>
                                    <w:object w:dxaOrig="2041" w:dyaOrig="2961">
                                      <v:shape id="_x0000_i1026" type="#_x0000_t75" style="width:46.95pt;height:58.25pt" o:ole="" fillcolor="window">
                                        <v:imagedata r:id="rId9" o:title=""/>
                                      </v:shape>
                                      <o:OLEObject Type="Embed" ProgID="Word.Picture.8" ShapeID="_x0000_i1026" DrawAspect="Content" ObjectID="_1774089405" r:id="rId13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36pt;margin-top:1.1pt;width:61.65pt;height:6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" stroked="f">
                      <v:textbox>
                        <w:txbxContent>
                          <w:p w:rsidR="004E33F8" w:rsidRDefault="004E33F8" w:rsidP="004E33F8">
                            <w:r>
                              <w:object w:dxaOrig="2041" w:dyaOrig="2961">
                                <v:shape id="_x0000_i1026" type="#_x0000_t75" style="width:46.95pt;height:58.25pt" o:ole="" fillcolor="window">
                                  <v:imagedata r:id="rId9" o:title=""/>
                                </v:shape>
                                <o:OLEObject Type="Embed" ProgID="Word.Picture.8" ShapeID="_x0000_i1026" DrawAspect="Content" ObjectID="_1774089405" r:id="rId14"/>
                              </w:objec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8114" w:type="dxa"/>
            <w:tcBorders>
              <w:top w:val="nil"/>
              <w:left w:val="nil"/>
              <w:bottom w:val="nil"/>
              <w:right w:val="nil"/>
            </w:tcBorders>
          </w:tcPr>
          <w:p w:rsidR="004E33F8" w:rsidRPr="008B190E" w:rsidRDefault="004E33F8" w:rsidP="003D2E4D">
            <w:pPr>
              <w:spacing w:after="0" w:line="240" w:lineRule="auto"/>
              <w:jc w:val="center"/>
              <w:rPr>
                <w:rFonts w:ascii="Times New Roman" w:eastAsia="MS Mincho" w:hAnsi="Times New Roman" w:cs="Courier New"/>
                <w:b/>
                <w:sz w:val="18"/>
                <w:szCs w:val="20"/>
                <w:lang w:eastAsia="ru-RU"/>
              </w:rPr>
            </w:pPr>
            <w:r w:rsidRPr="008B190E">
              <w:rPr>
                <w:rFonts w:ascii="Times New Roman" w:eastAsia="MS Mincho" w:hAnsi="Times New Roman" w:cs="Courier New"/>
                <w:b/>
                <w:sz w:val="18"/>
                <w:szCs w:val="20"/>
                <w:lang w:eastAsia="ru-RU"/>
              </w:rPr>
              <w:t>УНИВЕРСАЛЬНЫЙ КОММЕРЧЕСКИЙ БАНК «НОВОБАНК»</w:t>
            </w:r>
          </w:p>
          <w:p w:rsidR="004E33F8" w:rsidRPr="008B190E" w:rsidRDefault="004E33F8" w:rsidP="003D2E4D">
            <w:pPr>
              <w:spacing w:after="0" w:line="240" w:lineRule="auto"/>
              <w:jc w:val="center"/>
              <w:rPr>
                <w:rFonts w:ascii="Times New Roman" w:eastAsia="MS Mincho" w:hAnsi="Times New Roman" w:cs="Courier New"/>
                <w:b/>
                <w:sz w:val="18"/>
                <w:szCs w:val="20"/>
                <w:lang w:eastAsia="ru-RU"/>
              </w:rPr>
            </w:pPr>
            <w:r w:rsidRPr="008B190E">
              <w:rPr>
                <w:rFonts w:ascii="Times New Roman" w:eastAsia="MS Mincho" w:hAnsi="Times New Roman" w:cs="Courier New"/>
                <w:b/>
                <w:sz w:val="18"/>
                <w:szCs w:val="20"/>
                <w:lang w:eastAsia="ru-RU"/>
              </w:rPr>
              <w:t>(ПУБЛИЧНОЕ АКЦИОНЕРНОЕ ОБЩЕСТВО)</w:t>
            </w:r>
          </w:p>
          <w:p w:rsidR="004E33F8" w:rsidRPr="008B190E" w:rsidRDefault="004E33F8" w:rsidP="003D2E4D">
            <w:pPr>
              <w:spacing w:after="0" w:line="240" w:lineRule="auto"/>
              <w:jc w:val="right"/>
              <w:rPr>
                <w:rFonts w:ascii="Times New Roman" w:eastAsia="MS Mincho" w:hAnsi="Times New Roman" w:cs="Courier New"/>
                <w:b/>
                <w:sz w:val="24"/>
                <w:szCs w:val="20"/>
                <w:lang w:eastAsia="ru-RU"/>
              </w:rPr>
            </w:pPr>
          </w:p>
        </w:tc>
      </w:tr>
    </w:tbl>
    <w:p w:rsidR="004E33F8" w:rsidRDefault="004E33F8" w:rsidP="004E33F8">
      <w:pPr>
        <w:pStyle w:val="a3"/>
        <w:jc w:val="center"/>
        <w:rPr>
          <w:rFonts w:ascii="Times New Roman" w:hAnsi="Times New Roman" w:cs="Times New Roman"/>
        </w:rPr>
      </w:pPr>
    </w:p>
    <w:p w:rsidR="004E33F8" w:rsidRPr="00F77010" w:rsidRDefault="004E33F8" w:rsidP="004E33F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77010">
        <w:rPr>
          <w:rFonts w:ascii="Times New Roman" w:hAnsi="Times New Roman" w:cs="Times New Roman"/>
          <w:sz w:val="24"/>
          <w:szCs w:val="24"/>
        </w:rPr>
        <w:t xml:space="preserve">Условия вклада «Золотое время» </w:t>
      </w:r>
    </w:p>
    <w:tbl>
      <w:tblPr>
        <w:tblW w:w="992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3391"/>
        <w:gridCol w:w="2969"/>
        <w:gridCol w:w="2969"/>
      </w:tblGrid>
      <w:tr w:rsidR="004E33F8" w:rsidRPr="00110D1C" w:rsidTr="003D2E4D">
        <w:trPr>
          <w:jc w:val="center"/>
        </w:trPr>
        <w:tc>
          <w:tcPr>
            <w:tcW w:w="59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E33F8" w:rsidRPr="00110D1C" w:rsidRDefault="004E33F8" w:rsidP="003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1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391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E33F8" w:rsidRPr="00110D1C" w:rsidRDefault="004E33F8" w:rsidP="003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1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Условие договора банковского вклада</w:t>
            </w:r>
          </w:p>
        </w:tc>
        <w:tc>
          <w:tcPr>
            <w:tcW w:w="5938" w:type="dxa"/>
            <w:gridSpan w:val="2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E33F8" w:rsidRPr="00110D1C" w:rsidRDefault="004E33F8" w:rsidP="003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1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Содержание условия договора банковского вклада</w:t>
            </w:r>
          </w:p>
        </w:tc>
      </w:tr>
      <w:tr w:rsidR="004E33F8" w:rsidRPr="00110D1C" w:rsidTr="003D2E4D">
        <w:trPr>
          <w:trHeight w:val="192"/>
          <w:jc w:val="center"/>
        </w:trPr>
        <w:tc>
          <w:tcPr>
            <w:tcW w:w="59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4E33F8" w:rsidRPr="00110D1C" w:rsidRDefault="004E33F8" w:rsidP="003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8" w:name="_Hlk115382526"/>
            <w:r w:rsidRPr="0011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91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4E33F8" w:rsidRPr="00110D1C" w:rsidRDefault="004E33F8" w:rsidP="003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938" w:type="dxa"/>
            <w:gridSpan w:val="2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4E33F8" w:rsidRPr="00110D1C" w:rsidRDefault="004E33F8" w:rsidP="003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bookmarkEnd w:id="8"/>
      <w:tr w:rsidR="004E33F8" w:rsidRPr="00110D1C" w:rsidTr="003D2E4D">
        <w:trPr>
          <w:trHeight w:val="192"/>
          <w:jc w:val="center"/>
        </w:trPr>
        <w:tc>
          <w:tcPr>
            <w:tcW w:w="59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E33F8" w:rsidRPr="00110D1C" w:rsidRDefault="004E33F8" w:rsidP="003D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1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E33F8" w:rsidRPr="00110D1C" w:rsidRDefault="004E33F8" w:rsidP="003D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вклада</w:t>
            </w:r>
          </w:p>
        </w:tc>
        <w:tc>
          <w:tcPr>
            <w:tcW w:w="5938" w:type="dxa"/>
            <w:gridSpan w:val="2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E33F8" w:rsidRPr="00767422" w:rsidRDefault="004E33F8" w:rsidP="003D2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Срочный вклад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Вкладчиков, имеющих право на получение пенсионных выплат.</w:t>
            </w:r>
          </w:p>
        </w:tc>
      </w:tr>
      <w:tr w:rsidR="004E33F8" w:rsidRPr="00110D1C" w:rsidTr="003D2E4D">
        <w:trPr>
          <w:trHeight w:val="532"/>
          <w:jc w:val="center"/>
        </w:trPr>
        <w:tc>
          <w:tcPr>
            <w:tcW w:w="59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E33F8" w:rsidRPr="00110D1C" w:rsidRDefault="004E33F8" w:rsidP="003D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1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E33F8" w:rsidRPr="00110D1C" w:rsidRDefault="004E33F8" w:rsidP="003D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и валюта вклада</w:t>
            </w:r>
          </w:p>
        </w:tc>
        <w:tc>
          <w:tcPr>
            <w:tcW w:w="5938" w:type="dxa"/>
            <w:gridSpan w:val="2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E33F8" w:rsidRDefault="004E33F8" w:rsidP="003D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вклада: Российский рубль</w:t>
            </w:r>
          </w:p>
          <w:p w:rsidR="004E33F8" w:rsidRDefault="004E33F8" w:rsidP="003D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Минимальная сумма вклада: 1 000,00 рублей</w:t>
            </w:r>
          </w:p>
          <w:p w:rsidR="004E33F8" w:rsidRPr="00110D1C" w:rsidRDefault="004E33F8" w:rsidP="003D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сумма вклада: без ограничений.</w:t>
            </w:r>
          </w:p>
        </w:tc>
      </w:tr>
      <w:tr w:rsidR="004E33F8" w:rsidRPr="00110D1C" w:rsidTr="003D2E4D">
        <w:trPr>
          <w:jc w:val="center"/>
        </w:trPr>
        <w:tc>
          <w:tcPr>
            <w:tcW w:w="59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E33F8" w:rsidRPr="00110D1C" w:rsidRDefault="004E33F8" w:rsidP="003D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1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E33F8" w:rsidRPr="00110D1C" w:rsidRDefault="004E33F8" w:rsidP="003D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пополнения вклада, имеющиеся ограничения на пополнение вклада</w:t>
            </w:r>
          </w:p>
        </w:tc>
        <w:tc>
          <w:tcPr>
            <w:tcW w:w="5938" w:type="dxa"/>
            <w:gridSpan w:val="2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E33F8" w:rsidRPr="00110D1C" w:rsidRDefault="004E33F8" w:rsidP="003D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взносы принимаются в любых суммах в течение всего срока действия договора</w:t>
            </w:r>
          </w:p>
        </w:tc>
      </w:tr>
      <w:tr w:rsidR="004E33F8" w:rsidRPr="00110D1C" w:rsidTr="003D2E4D">
        <w:trPr>
          <w:trHeight w:val="436"/>
          <w:jc w:val="center"/>
        </w:trPr>
        <w:tc>
          <w:tcPr>
            <w:tcW w:w="594" w:type="dxa"/>
            <w:tcBorders>
              <w:top w:val="single" w:sz="6" w:space="0" w:color="B4B0B0"/>
              <w:left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E33F8" w:rsidRPr="00110D1C" w:rsidRDefault="004E33F8" w:rsidP="003D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1" w:type="dxa"/>
            <w:tcBorders>
              <w:top w:val="single" w:sz="6" w:space="0" w:color="B4B0B0"/>
              <w:left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E33F8" w:rsidRPr="00110D1C" w:rsidRDefault="004E33F8" w:rsidP="003D2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1C">
              <w:rPr>
                <w:rFonts w:ascii="Times New Roman" w:hAnsi="Times New Roman" w:cs="Times New Roman"/>
                <w:sz w:val="24"/>
                <w:szCs w:val="24"/>
              </w:rPr>
              <w:t xml:space="preserve">Срок вклада </w:t>
            </w:r>
          </w:p>
        </w:tc>
        <w:tc>
          <w:tcPr>
            <w:tcW w:w="5938" w:type="dxa"/>
            <w:gridSpan w:val="2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E33F8" w:rsidRPr="00110D1C" w:rsidRDefault="004E33F8" w:rsidP="003D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(Триста шестьдесят) дней</w:t>
            </w:r>
          </w:p>
        </w:tc>
      </w:tr>
      <w:tr w:rsidR="004E33F8" w:rsidRPr="00110D1C" w:rsidTr="003D2E4D">
        <w:trPr>
          <w:trHeight w:val="835"/>
          <w:jc w:val="center"/>
        </w:trPr>
        <w:tc>
          <w:tcPr>
            <w:tcW w:w="59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E33F8" w:rsidRPr="00110D1C" w:rsidRDefault="004E33F8" w:rsidP="003D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1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E33F8" w:rsidRPr="00110D1C" w:rsidRDefault="004E33F8" w:rsidP="003D2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D1C">
              <w:rPr>
                <w:rFonts w:ascii="Times New Roman" w:hAnsi="Times New Roman" w:cs="Times New Roman"/>
                <w:sz w:val="24"/>
                <w:szCs w:val="24"/>
              </w:rPr>
              <w:t xml:space="preserve">Процентная ставка (процентные ставки) по вкладу в процентах годовых - по договорам банковского вклада, в которых фиксированная величина или фиксированные величины процентной ставки стороны договора определяют в договоре банковского вклада при его заключении (постоянная процентная ставка). При наличии нескольких процентных ставок по вкладу указываются условие и период времени применения каждой из них. По вкладам до востребования процентная ставка указывается на дату заключения договора банковского вклада, а также указывается информация о возможности изменения банком размера </w:t>
            </w:r>
            <w:r w:rsidRPr="00110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выплачиваемых процентов в случае, если такая возможность предусмотрена договором банковского вклада.</w:t>
            </w:r>
          </w:p>
          <w:p w:rsidR="004E33F8" w:rsidRPr="00110D1C" w:rsidRDefault="004E33F8" w:rsidP="003D2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1C">
              <w:rPr>
                <w:rFonts w:ascii="Times New Roman" w:hAnsi="Times New Roman" w:cs="Times New Roman"/>
                <w:sz w:val="24"/>
                <w:szCs w:val="24"/>
              </w:rPr>
              <w:t>При применении переменной процентной ставки (процентной ставки, содержащей переменные величины, значения которых определяются исходя из обстоятельств, не зависящих от банка и аффилированных с ним лиц) - порядок ее определения и значение на дату заключения договора банковского вклада, порядок и срок информирования вкладчика об изменении такой процентной ставки</w:t>
            </w:r>
          </w:p>
        </w:tc>
        <w:tc>
          <w:tcPr>
            <w:tcW w:w="2969" w:type="dxa"/>
            <w:tcBorders>
              <w:top w:val="single" w:sz="6" w:space="0" w:color="B4B0B0"/>
              <w:left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E33F8" w:rsidRPr="00110D1C" w:rsidRDefault="004E33F8" w:rsidP="003D2E4D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3F8" w:rsidRDefault="004E33F8" w:rsidP="003D2E4D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  <w:r w:rsidRPr="0011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процентов годовых</w:t>
            </w:r>
          </w:p>
        </w:tc>
        <w:tc>
          <w:tcPr>
            <w:tcW w:w="2969" w:type="dxa"/>
            <w:tcBorders>
              <w:top w:val="single" w:sz="6" w:space="0" w:color="B4B0B0"/>
              <w:left w:val="single" w:sz="6" w:space="0" w:color="B4B0B0"/>
              <w:right w:val="single" w:sz="6" w:space="0" w:color="B4B0B0"/>
            </w:tcBorders>
            <w:vAlign w:val="center"/>
          </w:tcPr>
          <w:p w:rsidR="004E33F8" w:rsidRDefault="004E33F8" w:rsidP="003D2E4D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Минимальная гарантированная ставка по вкладу </w:t>
            </w:r>
          </w:p>
          <w:p w:rsidR="004E33F8" w:rsidRPr="00110D1C" w:rsidRDefault="004E33F8" w:rsidP="003D2E4D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 процентов годовых*</w:t>
            </w:r>
          </w:p>
        </w:tc>
      </w:tr>
      <w:tr w:rsidR="004E33F8" w:rsidRPr="00110D1C" w:rsidTr="003D2E4D">
        <w:tblPrEx>
          <w:jc w:val="left"/>
        </w:tblPrEx>
        <w:tc>
          <w:tcPr>
            <w:tcW w:w="59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4E33F8" w:rsidRPr="00110D1C" w:rsidRDefault="004E33F8" w:rsidP="003D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391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4E33F8" w:rsidRPr="00110D1C" w:rsidRDefault="004E33F8" w:rsidP="003D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выплаты вкладчику процентов по вкладу</w:t>
            </w:r>
          </w:p>
        </w:tc>
        <w:tc>
          <w:tcPr>
            <w:tcW w:w="5938" w:type="dxa"/>
            <w:gridSpan w:val="2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4E33F8" w:rsidRPr="00110D1C" w:rsidRDefault="004E33F8" w:rsidP="003D2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1C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Начисленные проценты к сумме вклада не присоединяются. Начисленные проценты могут быть выплачены по желанию Вкладчика как наличными деньгами, так и путем перечисления на текущий счет/счет карты/счет «до востребования», открытые в ПАО УКБ «Новобанк».</w:t>
            </w:r>
          </w:p>
        </w:tc>
      </w:tr>
      <w:tr w:rsidR="004E33F8" w:rsidRPr="00110D1C" w:rsidTr="003D2E4D">
        <w:tblPrEx>
          <w:jc w:val="left"/>
        </w:tblPrEx>
        <w:tc>
          <w:tcPr>
            <w:tcW w:w="59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E33F8" w:rsidRPr="00110D1C" w:rsidRDefault="004E33F8" w:rsidP="003D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91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E33F8" w:rsidRPr="00110D1C" w:rsidRDefault="004E33F8" w:rsidP="003D2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D1C">
              <w:rPr>
                <w:rFonts w:ascii="Times New Roman" w:hAnsi="Times New Roman" w:cs="Times New Roman"/>
                <w:sz w:val="24"/>
                <w:szCs w:val="24"/>
              </w:rPr>
              <w:t>Процентная ставка (процентные ставки) либо порядок ее (их) определения при досрочном возврате суммы срочного вклада или ее части по требованию вкладчика</w:t>
            </w:r>
          </w:p>
          <w:p w:rsidR="004E33F8" w:rsidRPr="00110D1C" w:rsidRDefault="004E33F8" w:rsidP="003D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gridSpan w:val="2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4E33F8" w:rsidRPr="00110D1C" w:rsidRDefault="004E33F8" w:rsidP="003D2E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1C">
              <w:rPr>
                <w:rFonts w:ascii="Times New Roman" w:hAnsi="Times New Roman" w:cs="Times New Roman"/>
                <w:sz w:val="24"/>
                <w:szCs w:val="24"/>
              </w:rPr>
              <w:t xml:space="preserve">При досрочном востребовании суммы вклада до дня окончания срока договора, проценты за последний неполный месяц хранения вклада начисляются на сумму вклада по ставке 0,30 процентов годовых. </w:t>
            </w:r>
          </w:p>
        </w:tc>
      </w:tr>
      <w:tr w:rsidR="004E33F8" w:rsidRPr="00110D1C" w:rsidTr="003D2E4D">
        <w:tblPrEx>
          <w:jc w:val="left"/>
        </w:tblPrEx>
        <w:tc>
          <w:tcPr>
            <w:tcW w:w="59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E33F8" w:rsidRPr="00110D1C" w:rsidRDefault="004E33F8" w:rsidP="003D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91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E33F8" w:rsidRPr="00110D1C" w:rsidRDefault="004E33F8" w:rsidP="003D2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D1C">
              <w:rPr>
                <w:rFonts w:ascii="Times New Roman" w:hAnsi="Times New Roman" w:cs="Times New Roman"/>
                <w:sz w:val="24"/>
                <w:szCs w:val="24"/>
              </w:rPr>
              <w:t>Возможность досрочного возврата части суммы срочного вклада без изменения условий о размере процентов и периодичности их выплаты, условия такого досрочного возврата, размер неснижаемого остатка суммы вклада</w:t>
            </w:r>
          </w:p>
          <w:p w:rsidR="004E33F8" w:rsidRPr="00110D1C" w:rsidRDefault="004E33F8" w:rsidP="003D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gridSpan w:val="2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4E33F8" w:rsidRPr="00110D1C" w:rsidRDefault="004E33F8" w:rsidP="003D2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применимо</w:t>
            </w:r>
          </w:p>
        </w:tc>
      </w:tr>
      <w:tr w:rsidR="004E33F8" w:rsidRPr="00110D1C" w:rsidTr="003D2E4D">
        <w:tblPrEx>
          <w:jc w:val="left"/>
        </w:tblPrEx>
        <w:tc>
          <w:tcPr>
            <w:tcW w:w="59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E33F8" w:rsidRPr="00110D1C" w:rsidRDefault="004E33F8" w:rsidP="003D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91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E33F8" w:rsidRPr="00110D1C" w:rsidRDefault="004E33F8" w:rsidP="003D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и порядок продления срока срочного вклада</w:t>
            </w:r>
          </w:p>
        </w:tc>
        <w:tc>
          <w:tcPr>
            <w:tcW w:w="5938" w:type="dxa"/>
            <w:gridSpan w:val="2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4E33F8" w:rsidRPr="00110D1C" w:rsidRDefault="004E33F8" w:rsidP="003D2E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применимо</w:t>
            </w:r>
          </w:p>
        </w:tc>
      </w:tr>
      <w:tr w:rsidR="004E33F8" w:rsidRPr="00110D1C" w:rsidTr="003D2E4D">
        <w:tblPrEx>
          <w:jc w:val="left"/>
        </w:tblPrEx>
        <w:tc>
          <w:tcPr>
            <w:tcW w:w="59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E33F8" w:rsidRPr="00110D1C" w:rsidRDefault="004E33F8" w:rsidP="003D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91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E33F8" w:rsidRPr="00110D1C" w:rsidRDefault="004E33F8" w:rsidP="003D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обмена информацией </w:t>
            </w:r>
            <w:r w:rsidRPr="0011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между банком и вкладчиком</w:t>
            </w:r>
          </w:p>
        </w:tc>
        <w:tc>
          <w:tcPr>
            <w:tcW w:w="5938" w:type="dxa"/>
            <w:gridSpan w:val="2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E33F8" w:rsidRPr="00765FAA" w:rsidRDefault="004E33F8" w:rsidP="003D2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FA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Обмен информацией между Банком и Вкладчиком (в том </w:t>
            </w:r>
            <w:r w:rsidRPr="00765FA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числе информирование Банком Вкладчика об окончании срока Вклада) осуществляется одним </w:t>
            </w:r>
            <w:proofErr w:type="gramStart"/>
            <w:r w:rsidRPr="00765FAA"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  <w:proofErr w:type="gramEnd"/>
            <w:r w:rsidRPr="00765F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765FAA">
              <w:rPr>
                <w:rFonts w:ascii="Times New Roman" w:eastAsia="Times New Roman" w:hAnsi="Times New Roman" w:cs="Times New Roman"/>
                <w:lang w:eastAsia="ru-RU"/>
              </w:rPr>
              <w:t>следующим</w:t>
            </w:r>
            <w:proofErr w:type="gramEnd"/>
            <w:r w:rsidRPr="00765FAA">
              <w:rPr>
                <w:rFonts w:ascii="Times New Roman" w:eastAsia="Times New Roman" w:hAnsi="Times New Roman" w:cs="Times New Roman"/>
                <w:lang w:eastAsia="ru-RU"/>
              </w:rPr>
              <w:t xml:space="preserve"> способов: </w:t>
            </w:r>
          </w:p>
          <w:p w:rsidR="004E33F8" w:rsidRPr="00765FAA" w:rsidRDefault="004E33F8" w:rsidP="003D2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FAA">
              <w:rPr>
                <w:rFonts w:ascii="Times New Roman" w:eastAsia="Times New Roman" w:hAnsi="Times New Roman" w:cs="Times New Roman"/>
                <w:lang w:eastAsia="ru-RU"/>
              </w:rPr>
              <w:t>- СМС - информированием на номер мобильного телефона: +7 ________________________</w:t>
            </w:r>
          </w:p>
          <w:p w:rsidR="004E33F8" w:rsidRPr="00110D1C" w:rsidRDefault="004E33F8" w:rsidP="003D2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FAA">
              <w:rPr>
                <w:rFonts w:ascii="Times New Roman" w:eastAsia="Times New Roman" w:hAnsi="Times New Roman" w:cs="Times New Roman"/>
                <w:lang w:eastAsia="ru-RU"/>
              </w:rPr>
              <w:t>- по электронной почте: ________________________</w:t>
            </w:r>
          </w:p>
        </w:tc>
      </w:tr>
      <w:tr w:rsidR="004E33F8" w:rsidRPr="00110D1C" w:rsidTr="003D2E4D">
        <w:tblPrEx>
          <w:jc w:val="left"/>
        </w:tblPrEx>
        <w:trPr>
          <w:trHeight w:val="1023"/>
        </w:trPr>
        <w:tc>
          <w:tcPr>
            <w:tcW w:w="59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4E33F8" w:rsidRPr="00110D1C" w:rsidRDefault="004E33F8" w:rsidP="003D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1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4E33F8" w:rsidRPr="00110D1C" w:rsidRDefault="004E33F8" w:rsidP="003D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Перечисление Вклада по окончании срока договора при </w:t>
            </w:r>
            <w:proofErr w:type="spellStart"/>
            <w:r w:rsidRPr="0011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невостребовании</w:t>
            </w:r>
            <w:proofErr w:type="spellEnd"/>
            <w:r w:rsidRPr="0011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вклада</w:t>
            </w:r>
          </w:p>
        </w:tc>
        <w:tc>
          <w:tcPr>
            <w:tcW w:w="5938" w:type="dxa"/>
            <w:gridSpan w:val="2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4E33F8" w:rsidRPr="00110D1C" w:rsidRDefault="004E33F8" w:rsidP="003D2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11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невостребовании</w:t>
            </w:r>
            <w:proofErr w:type="spellEnd"/>
            <w:r w:rsidRPr="0011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Вклада по окончании срока договора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Вклада вместе с начисленными процентами перечисляется на текущий счет/счет до востребования/счет карты Вкладчика, открытый в ПАО УКБ «</w:t>
            </w:r>
            <w:proofErr w:type="spellStart"/>
            <w:r w:rsidRPr="0011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Новобанк</w:t>
            </w:r>
            <w:proofErr w:type="spellEnd"/>
            <w:r w:rsidRPr="0011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4E33F8" w:rsidRPr="00110D1C" w:rsidTr="003D2E4D">
        <w:tblPrEx>
          <w:jc w:val="left"/>
        </w:tblPrEx>
        <w:trPr>
          <w:trHeight w:val="1023"/>
        </w:trPr>
        <w:tc>
          <w:tcPr>
            <w:tcW w:w="59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4E33F8" w:rsidRPr="00110D1C" w:rsidRDefault="004E33F8" w:rsidP="003D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91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4E33F8" w:rsidRPr="00110D1C" w:rsidRDefault="004E33F8" w:rsidP="003D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вклада на третьих лиц, передача прав по вкладу третьим лицам</w:t>
            </w:r>
          </w:p>
        </w:tc>
        <w:tc>
          <w:tcPr>
            <w:tcW w:w="5938" w:type="dxa"/>
            <w:gridSpan w:val="2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4E33F8" w:rsidRPr="00110D1C" w:rsidRDefault="004E33F8" w:rsidP="003D2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применимо</w:t>
            </w:r>
          </w:p>
        </w:tc>
      </w:tr>
    </w:tbl>
    <w:p w:rsidR="004E33F8" w:rsidRDefault="004E33F8" w:rsidP="004E33F8">
      <w:pPr>
        <w:spacing w:after="0" w:line="240" w:lineRule="auto"/>
        <w:ind w:left="-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минимальная гарантированная ставка по вкладу рассчитана в соответствии </w:t>
      </w:r>
      <w:r w:rsidRPr="00393D2D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r w:rsidRPr="00393D2D">
        <w:rPr>
          <w:rFonts w:ascii="Times New Roman" w:hAnsi="Times New Roman" w:cs="Times New Roman"/>
          <w:sz w:val="18"/>
          <w:szCs w:val="18"/>
        </w:rPr>
        <w:t xml:space="preserve"> Порядком, установленным Банком России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E33F8" w:rsidRDefault="004E33F8" w:rsidP="004E33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33F8" w:rsidRPr="008B190E" w:rsidRDefault="004E33F8" w:rsidP="004E33F8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B1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Общие условия обслуживания вкладов, права, обязанности и ответственность сторон, гарантии Банка определены в Порядке </w:t>
      </w:r>
      <w:r w:rsidRPr="008B190E">
        <w:rPr>
          <w:rFonts w:ascii="Times New Roman" w:hAnsi="Times New Roman" w:cs="Times New Roman"/>
          <w:sz w:val="26"/>
          <w:szCs w:val="26"/>
        </w:rPr>
        <w:t>заключения и исполнения договора срочного вклада, являющимся неотъемлемой частью Правил комплексного банковского обслуживания физических лиц в ПАО УКБ «</w:t>
      </w:r>
      <w:proofErr w:type="spellStart"/>
      <w:r w:rsidRPr="008B190E">
        <w:rPr>
          <w:rFonts w:ascii="Times New Roman" w:hAnsi="Times New Roman" w:cs="Times New Roman"/>
          <w:sz w:val="26"/>
          <w:szCs w:val="26"/>
        </w:rPr>
        <w:t>Новобанк</w:t>
      </w:r>
      <w:proofErr w:type="spellEnd"/>
      <w:r w:rsidRPr="008B190E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4E33F8" w:rsidRPr="008B190E" w:rsidRDefault="004E33F8" w:rsidP="004E33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33F8" w:rsidRPr="00B2735E" w:rsidRDefault="004E33F8" w:rsidP="004E33F8">
      <w:pPr>
        <w:pStyle w:val="a3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B2735E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© </w:t>
      </w:r>
    </w:p>
    <w:p w:rsidR="00E84F0B" w:rsidRDefault="00E84F0B" w:rsidP="00E84F0B">
      <w:pPr>
        <w:pStyle w:val="a3"/>
        <w:jc w:val="both"/>
        <w:rPr>
          <w:rFonts w:ascii="Times New Roman" w:eastAsia="MS Mincho" w:hAnsi="Times New Roman" w:cs="Times New Roman"/>
          <w:bCs/>
        </w:rPr>
      </w:pPr>
    </w:p>
    <w:bookmarkEnd w:id="6"/>
    <w:p w:rsidR="0072283C" w:rsidRDefault="0072283C" w:rsidP="00195260">
      <w:pPr>
        <w:pStyle w:val="a3"/>
        <w:ind w:firstLine="284"/>
        <w:jc w:val="both"/>
        <w:rPr>
          <w:rFonts w:ascii="Times New Roman" w:eastAsia="MS Mincho" w:hAnsi="Times New Roman" w:cs="Times New Roman"/>
          <w:bCs/>
        </w:rPr>
      </w:pPr>
    </w:p>
    <w:sectPr w:rsidR="0072283C" w:rsidSect="00572701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072" w:rsidRDefault="00030072" w:rsidP="00892569">
      <w:pPr>
        <w:spacing w:after="0" w:line="240" w:lineRule="auto"/>
      </w:pPr>
      <w:r>
        <w:separator/>
      </w:r>
    </w:p>
  </w:endnote>
  <w:endnote w:type="continuationSeparator" w:id="0">
    <w:p w:rsidR="00030072" w:rsidRDefault="00030072" w:rsidP="00892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072" w:rsidRDefault="00030072" w:rsidP="00892569">
      <w:pPr>
        <w:spacing w:after="0" w:line="240" w:lineRule="auto"/>
      </w:pPr>
      <w:r>
        <w:separator/>
      </w:r>
    </w:p>
  </w:footnote>
  <w:footnote w:type="continuationSeparator" w:id="0">
    <w:p w:rsidR="00030072" w:rsidRDefault="00030072" w:rsidP="00892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65B21"/>
    <w:multiLevelType w:val="hybridMultilevel"/>
    <w:tmpl w:val="216C6D3A"/>
    <w:lvl w:ilvl="0" w:tplc="6DAE44C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49DC4D3D"/>
    <w:multiLevelType w:val="multilevel"/>
    <w:tmpl w:val="C98487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447"/>
    <w:rsid w:val="00001C37"/>
    <w:rsid w:val="00020C50"/>
    <w:rsid w:val="00030072"/>
    <w:rsid w:val="00053BE8"/>
    <w:rsid w:val="00082CC0"/>
    <w:rsid w:val="000A1D30"/>
    <w:rsid w:val="000A21E7"/>
    <w:rsid w:val="000B6D00"/>
    <w:rsid w:val="000C6DD3"/>
    <w:rsid w:val="000F5C92"/>
    <w:rsid w:val="00137B44"/>
    <w:rsid w:val="00194302"/>
    <w:rsid w:val="00195260"/>
    <w:rsid w:val="002D3979"/>
    <w:rsid w:val="00327041"/>
    <w:rsid w:val="00393D2D"/>
    <w:rsid w:val="003A671F"/>
    <w:rsid w:val="004042CA"/>
    <w:rsid w:val="00436840"/>
    <w:rsid w:val="004671B4"/>
    <w:rsid w:val="00477F6E"/>
    <w:rsid w:val="00485248"/>
    <w:rsid w:val="004C2071"/>
    <w:rsid w:val="004E33F8"/>
    <w:rsid w:val="004E7F8D"/>
    <w:rsid w:val="0050471E"/>
    <w:rsid w:val="00515A43"/>
    <w:rsid w:val="00546931"/>
    <w:rsid w:val="00547075"/>
    <w:rsid w:val="00550A96"/>
    <w:rsid w:val="00572701"/>
    <w:rsid w:val="005C357F"/>
    <w:rsid w:val="005E26A2"/>
    <w:rsid w:val="00627FA2"/>
    <w:rsid w:val="00645EE1"/>
    <w:rsid w:val="00657CAF"/>
    <w:rsid w:val="00693D8F"/>
    <w:rsid w:val="006B28EF"/>
    <w:rsid w:val="0072283C"/>
    <w:rsid w:val="007519CF"/>
    <w:rsid w:val="00753E22"/>
    <w:rsid w:val="00775E6E"/>
    <w:rsid w:val="007B7AC6"/>
    <w:rsid w:val="007F1926"/>
    <w:rsid w:val="00811F9C"/>
    <w:rsid w:val="00850F3B"/>
    <w:rsid w:val="008773A2"/>
    <w:rsid w:val="00892569"/>
    <w:rsid w:val="0089728D"/>
    <w:rsid w:val="008F1970"/>
    <w:rsid w:val="008F467E"/>
    <w:rsid w:val="009044D3"/>
    <w:rsid w:val="0092725F"/>
    <w:rsid w:val="009422B6"/>
    <w:rsid w:val="009504B0"/>
    <w:rsid w:val="009713EF"/>
    <w:rsid w:val="00971DEE"/>
    <w:rsid w:val="0098400F"/>
    <w:rsid w:val="009B7017"/>
    <w:rsid w:val="009D7DA8"/>
    <w:rsid w:val="00A83239"/>
    <w:rsid w:val="00A927EA"/>
    <w:rsid w:val="00AA3EB8"/>
    <w:rsid w:val="00B03F59"/>
    <w:rsid w:val="00BA6D13"/>
    <w:rsid w:val="00BC2BE9"/>
    <w:rsid w:val="00BE31EE"/>
    <w:rsid w:val="00C03CEE"/>
    <w:rsid w:val="00C378D7"/>
    <w:rsid w:val="00C50842"/>
    <w:rsid w:val="00C518BC"/>
    <w:rsid w:val="00C77F76"/>
    <w:rsid w:val="00CB5FAB"/>
    <w:rsid w:val="00CF7C44"/>
    <w:rsid w:val="00D162B4"/>
    <w:rsid w:val="00D51447"/>
    <w:rsid w:val="00D6431A"/>
    <w:rsid w:val="00D73651"/>
    <w:rsid w:val="00D948C7"/>
    <w:rsid w:val="00DE4AD9"/>
    <w:rsid w:val="00E15D7E"/>
    <w:rsid w:val="00E328F7"/>
    <w:rsid w:val="00E36AD7"/>
    <w:rsid w:val="00E84F0B"/>
    <w:rsid w:val="00E93E10"/>
    <w:rsid w:val="00F331A5"/>
    <w:rsid w:val="00F41F5F"/>
    <w:rsid w:val="00F469A0"/>
    <w:rsid w:val="00F9440C"/>
    <w:rsid w:val="00F9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1447"/>
    <w:pPr>
      <w:spacing w:after="0" w:line="240" w:lineRule="auto"/>
    </w:pPr>
  </w:style>
  <w:style w:type="paragraph" w:styleId="a4">
    <w:name w:val="footnote text"/>
    <w:basedOn w:val="a"/>
    <w:link w:val="a5"/>
    <w:rsid w:val="00892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8925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892569"/>
    <w:rPr>
      <w:vertAlign w:val="superscript"/>
    </w:rPr>
  </w:style>
  <w:style w:type="paragraph" w:styleId="a7">
    <w:name w:val="Plain Text"/>
    <w:basedOn w:val="a"/>
    <w:link w:val="a8"/>
    <w:uiPriority w:val="99"/>
    <w:rsid w:val="006B28E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6B28E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404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042CA"/>
  </w:style>
  <w:style w:type="paragraph" w:styleId="ab">
    <w:name w:val="footer"/>
    <w:basedOn w:val="a"/>
    <w:link w:val="ac"/>
    <w:uiPriority w:val="99"/>
    <w:unhideWhenUsed/>
    <w:rsid w:val="00404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042CA"/>
  </w:style>
  <w:style w:type="paragraph" w:styleId="ad">
    <w:name w:val="List Paragraph"/>
    <w:basedOn w:val="a"/>
    <w:uiPriority w:val="34"/>
    <w:qFormat/>
    <w:rsid w:val="00AA3EB8"/>
    <w:pPr>
      <w:spacing w:after="200" w:line="276" w:lineRule="auto"/>
      <w:ind w:left="720"/>
      <w:contextualSpacing/>
    </w:pPr>
  </w:style>
  <w:style w:type="paragraph" w:styleId="2">
    <w:name w:val="Body Text 2"/>
    <w:basedOn w:val="a"/>
    <w:link w:val="20"/>
    <w:rsid w:val="0072283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2283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722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1447"/>
    <w:pPr>
      <w:spacing w:after="0" w:line="240" w:lineRule="auto"/>
    </w:pPr>
  </w:style>
  <w:style w:type="paragraph" w:styleId="a4">
    <w:name w:val="footnote text"/>
    <w:basedOn w:val="a"/>
    <w:link w:val="a5"/>
    <w:rsid w:val="00892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8925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892569"/>
    <w:rPr>
      <w:vertAlign w:val="superscript"/>
    </w:rPr>
  </w:style>
  <w:style w:type="paragraph" w:styleId="a7">
    <w:name w:val="Plain Text"/>
    <w:basedOn w:val="a"/>
    <w:link w:val="a8"/>
    <w:uiPriority w:val="99"/>
    <w:rsid w:val="006B28E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6B28E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404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042CA"/>
  </w:style>
  <w:style w:type="paragraph" w:styleId="ab">
    <w:name w:val="footer"/>
    <w:basedOn w:val="a"/>
    <w:link w:val="ac"/>
    <w:uiPriority w:val="99"/>
    <w:unhideWhenUsed/>
    <w:rsid w:val="00404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042CA"/>
  </w:style>
  <w:style w:type="paragraph" w:styleId="ad">
    <w:name w:val="List Paragraph"/>
    <w:basedOn w:val="a"/>
    <w:uiPriority w:val="34"/>
    <w:qFormat/>
    <w:rsid w:val="00AA3EB8"/>
    <w:pPr>
      <w:spacing w:after="200" w:line="276" w:lineRule="auto"/>
      <w:ind w:left="720"/>
      <w:contextualSpacing/>
    </w:pPr>
  </w:style>
  <w:style w:type="paragraph" w:styleId="2">
    <w:name w:val="Body Text 2"/>
    <w:basedOn w:val="a"/>
    <w:link w:val="20"/>
    <w:rsid w:val="0072283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2283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722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782B1-FF0E-4D77-9E67-225EBE4E3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Вячеславовна Васильева</dc:creator>
  <cp:keywords/>
  <dc:description/>
  <cp:lastModifiedBy>Тата</cp:lastModifiedBy>
  <cp:revision>53</cp:revision>
  <cp:lastPrinted>2023-07-25T06:19:00Z</cp:lastPrinted>
  <dcterms:created xsi:type="dcterms:W3CDTF">2022-07-11T13:28:00Z</dcterms:created>
  <dcterms:modified xsi:type="dcterms:W3CDTF">2024-04-08T10:50:00Z</dcterms:modified>
</cp:coreProperties>
</file>