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943"/>
      </w:tblGrid>
      <w:tr w:rsidR="00DE7D97" w:rsidRPr="008B190E" w:rsidTr="00CF0960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Hlk120543176"/>
          <w:p w:rsidR="00DE7D97" w:rsidRPr="008B190E" w:rsidRDefault="00DE7D97" w:rsidP="0039698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  <w:r w:rsidRPr="008B190E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010CB1" wp14:editId="4550CA9A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13970</wp:posOffset>
                      </wp:positionV>
                      <wp:extent cx="782955" cy="827405"/>
                      <wp:effectExtent l="0" t="0" r="2540" b="3175"/>
                      <wp:wrapSquare wrapText="bothSides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827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7D97" w:rsidRDefault="00DE7D97" w:rsidP="00DE7D97">
                                  <w:r>
                                    <w:object w:dxaOrig="2041" w:dyaOrig="2961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46.95pt;height:58.25pt" fillcolor="window">
                                        <v:imagedata r:id="rId8" o:title=""/>
                                      </v:shape>
                                      <o:OLEObject Type="Embed" ProgID="Word.Picture.8" ShapeID="_x0000_i1026" DrawAspect="Content" ObjectID="_1768226535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10C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36pt;margin-top:1.1pt;width:61.6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" stroked="f">
                      <v:textbox>
                        <w:txbxContent>
                          <w:p w:rsidR="00DE7D97" w:rsidRDefault="00DE7D97" w:rsidP="00DE7D97">
                            <w:r>
                              <w:object w:dxaOrig="2041" w:dyaOrig="2961">
                                <v:shape id="_x0000_i1026" type="#_x0000_t75" style="width:47.3pt;height:58.05pt" fillcolor="window">
                                  <v:imagedata r:id="rId10" o:title=""/>
                                </v:shape>
                                <o:OLEObject Type="Embed" ProgID="Word.Picture.8" ShapeID="_x0000_i1026" DrawAspect="Content" ObjectID="_1764162833" r:id="rId11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DE7D97" w:rsidRPr="008B190E" w:rsidRDefault="00DE7D97" w:rsidP="00396985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 w:rsidRPr="008B190E"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УНИВЕРСАЛЬНЫЙ КОММЕРЧЕСКИЙ БАНК «НОВОБАНК»</w:t>
            </w:r>
          </w:p>
          <w:p w:rsidR="00DE7D97" w:rsidRPr="008B190E" w:rsidRDefault="00DE7D97" w:rsidP="00396985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 w:rsidRPr="008B190E"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(ПУБЛИЧНОЕ АКЦИОНЕРНОЕ ОБЩЕСТВО)</w:t>
            </w:r>
          </w:p>
          <w:p w:rsidR="00DE7D97" w:rsidRPr="008B190E" w:rsidRDefault="00DE7D97" w:rsidP="00396985">
            <w:pPr>
              <w:spacing w:after="0" w:line="240" w:lineRule="auto"/>
              <w:jc w:val="right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</w:p>
        </w:tc>
      </w:tr>
    </w:tbl>
    <w:p w:rsidR="00DE7D97" w:rsidRPr="002B67C3" w:rsidRDefault="00DE7D97" w:rsidP="00DE7D97">
      <w:pPr>
        <w:pStyle w:val="a3"/>
        <w:jc w:val="center"/>
        <w:rPr>
          <w:rFonts w:ascii="Times New Roman" w:hAnsi="Times New Roman" w:cs="Times New Roman"/>
        </w:rPr>
      </w:pPr>
      <w:bookmarkStart w:id="1" w:name="_GoBack"/>
      <w:bookmarkEnd w:id="0"/>
      <w:bookmarkEnd w:id="1"/>
    </w:p>
    <w:p w:rsidR="004042CA" w:rsidRPr="002B67C3" w:rsidRDefault="00E27CD3" w:rsidP="004042CA">
      <w:pPr>
        <w:pStyle w:val="a3"/>
        <w:jc w:val="center"/>
        <w:rPr>
          <w:rFonts w:ascii="Times New Roman" w:hAnsi="Times New Roman" w:cs="Times New Roman"/>
        </w:rPr>
      </w:pPr>
      <w:r w:rsidRPr="002B67C3">
        <w:rPr>
          <w:rFonts w:ascii="Times New Roman" w:hAnsi="Times New Roman" w:cs="Times New Roman"/>
        </w:rPr>
        <w:t>Условия вклада</w:t>
      </w:r>
      <w:r w:rsidR="001C55F3" w:rsidRPr="002B67C3">
        <w:rPr>
          <w:rFonts w:ascii="Times New Roman" w:hAnsi="Times New Roman" w:cs="Times New Roman"/>
        </w:rPr>
        <w:t xml:space="preserve"> </w:t>
      </w:r>
      <w:r w:rsidR="00C77F76" w:rsidRPr="002B67C3">
        <w:rPr>
          <w:rFonts w:ascii="Times New Roman" w:hAnsi="Times New Roman" w:cs="Times New Roman"/>
        </w:rPr>
        <w:t>«</w:t>
      </w:r>
      <w:r w:rsidR="00327041" w:rsidRPr="002B67C3">
        <w:rPr>
          <w:rFonts w:ascii="Times New Roman" w:hAnsi="Times New Roman" w:cs="Times New Roman"/>
        </w:rPr>
        <w:t>Супер Экономный</w:t>
      </w:r>
      <w:r w:rsidR="00C77F76" w:rsidRPr="002B67C3">
        <w:rPr>
          <w:rFonts w:ascii="Times New Roman" w:hAnsi="Times New Roman" w:cs="Times New Roman"/>
        </w:rPr>
        <w:t>»</w:t>
      </w:r>
    </w:p>
    <w:tbl>
      <w:tblPr>
        <w:tblW w:w="9923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411"/>
        <w:gridCol w:w="1984"/>
        <w:gridCol w:w="1984"/>
        <w:gridCol w:w="1985"/>
      </w:tblGrid>
      <w:tr w:rsidR="009D7DA8" w:rsidRPr="002B67C3" w:rsidTr="00726B11"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7DA8" w:rsidRPr="002B67C3" w:rsidRDefault="009D7DA8" w:rsidP="007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1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7DA8" w:rsidRPr="002B67C3" w:rsidRDefault="009D7DA8" w:rsidP="007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Условие договора банковского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7DA8" w:rsidRPr="002B67C3" w:rsidRDefault="009D7DA8" w:rsidP="007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Содержание условия договора банковского вклада</w:t>
            </w:r>
          </w:p>
        </w:tc>
      </w:tr>
      <w:tr w:rsidR="003A0245" w:rsidRPr="002B67C3" w:rsidTr="00726B11">
        <w:trPr>
          <w:trHeight w:val="192"/>
        </w:trPr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A0245" w:rsidRPr="002B67C3" w:rsidRDefault="003A0245" w:rsidP="003A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A0245" w:rsidRPr="002B67C3" w:rsidRDefault="003A0245" w:rsidP="003A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A0245" w:rsidRPr="002B67C3" w:rsidRDefault="003A0245" w:rsidP="003A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9093D" w:rsidRPr="002B67C3" w:rsidTr="00726B11">
        <w:trPr>
          <w:trHeight w:val="192"/>
        </w:trPr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093D" w:rsidRPr="002B67C3" w:rsidRDefault="0029093D" w:rsidP="00290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9093D" w:rsidRPr="002B67C3" w:rsidRDefault="0029093D" w:rsidP="0029093D">
            <w:pPr>
              <w:rPr>
                <w:rFonts w:ascii="Times New Roman" w:hAnsi="Times New Roman" w:cs="Times New Roman"/>
              </w:rPr>
            </w:pPr>
            <w:r w:rsidRPr="002B67C3">
              <w:rPr>
                <w:rFonts w:ascii="Times New Roman" w:hAnsi="Times New Roman" w:cs="Times New Roman"/>
              </w:rPr>
              <w:t>Вид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093D" w:rsidRPr="002B67C3" w:rsidRDefault="0029093D" w:rsidP="00290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Срочный вклад</w:t>
            </w:r>
          </w:p>
        </w:tc>
      </w:tr>
      <w:tr w:rsidR="00E27CD3" w:rsidRPr="002B67C3" w:rsidTr="00726B11">
        <w:trPr>
          <w:trHeight w:val="532"/>
        </w:trPr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CD3" w:rsidRPr="002B67C3" w:rsidRDefault="00E27CD3" w:rsidP="00E2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1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27CD3" w:rsidRPr="002B67C3" w:rsidRDefault="00E27CD3" w:rsidP="00E27CD3">
            <w:pPr>
              <w:rPr>
                <w:rFonts w:ascii="Times New Roman" w:hAnsi="Times New Roman" w:cs="Times New Roman"/>
              </w:rPr>
            </w:pPr>
            <w:r w:rsidRPr="002B67C3">
              <w:rPr>
                <w:rFonts w:ascii="Times New Roman" w:hAnsi="Times New Roman" w:cs="Times New Roman"/>
              </w:rPr>
              <w:t>Сумма и валюта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CD3" w:rsidRPr="002B67C3" w:rsidRDefault="00E27CD3" w:rsidP="00E2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Валюта вклада: Российский рубль</w:t>
            </w:r>
          </w:p>
          <w:p w:rsidR="00E27CD3" w:rsidRPr="002B67C3" w:rsidRDefault="00E27CD3" w:rsidP="00E2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Минимальная сумма </w:t>
            </w:r>
            <w:r w:rsidR="003F5B69" w:rsidRPr="002B67C3">
              <w:rPr>
                <w:rFonts w:ascii="Times New Roman" w:eastAsia="Times New Roman" w:hAnsi="Times New Roman" w:cs="Times New Roman"/>
                <w:lang w:eastAsia="ru-RU"/>
              </w:rPr>
              <w:t>первого взноса (неснижаемый остаток)</w:t>
            </w: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E27CD3" w:rsidRPr="002B67C3" w:rsidRDefault="003F5B69" w:rsidP="00E2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E27CD3" w:rsidRPr="002B67C3">
              <w:rPr>
                <w:rFonts w:ascii="Times New Roman" w:eastAsia="Times New Roman" w:hAnsi="Times New Roman" w:cs="Times New Roman"/>
                <w:lang w:eastAsia="ru-RU"/>
              </w:rPr>
              <w:t>50 000,00 рублей</w:t>
            </w:r>
          </w:p>
          <w:p w:rsidR="003F5B69" w:rsidRPr="002B67C3" w:rsidRDefault="003F5B69" w:rsidP="00E2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 xml:space="preserve">  100 000,00 рублей</w:t>
            </w:r>
          </w:p>
          <w:p w:rsidR="003F5B69" w:rsidRPr="002B67C3" w:rsidRDefault="003F5B69" w:rsidP="00E2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1 000 000,00 рублей</w:t>
            </w:r>
          </w:p>
          <w:p w:rsidR="003F5B69" w:rsidRPr="002B67C3" w:rsidRDefault="003F5B69" w:rsidP="00E2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5 000 000,00 рублей</w:t>
            </w:r>
          </w:p>
          <w:p w:rsidR="002B67C3" w:rsidRDefault="002B67C3" w:rsidP="00E2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Минимальная сумма первого взноса определяет ставку по вкладу на весь срок действия договора.</w:t>
            </w:r>
          </w:p>
          <w:p w:rsidR="00E27CD3" w:rsidRPr="002B67C3" w:rsidRDefault="00E27CD3" w:rsidP="00E2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Максимальная сумма вклада: без ограничений.</w:t>
            </w:r>
          </w:p>
        </w:tc>
      </w:tr>
      <w:tr w:rsidR="00E27CD3" w:rsidRPr="002B67C3" w:rsidTr="00726B11"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CD3" w:rsidRPr="002B67C3" w:rsidRDefault="00E27CD3" w:rsidP="00E2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1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27CD3" w:rsidRPr="002B67C3" w:rsidRDefault="00E27CD3" w:rsidP="00E27CD3">
            <w:pPr>
              <w:rPr>
                <w:rFonts w:ascii="Times New Roman" w:hAnsi="Times New Roman" w:cs="Times New Roman"/>
              </w:rPr>
            </w:pPr>
            <w:r w:rsidRPr="002B67C3">
              <w:rPr>
                <w:rFonts w:ascii="Times New Roman" w:hAnsi="Times New Roman" w:cs="Times New Roman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CD3" w:rsidRPr="002B67C3" w:rsidRDefault="00E27CD3" w:rsidP="00E2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Дополнительные взносы принимаются в любых суммах в течение всего срока действия договора</w:t>
            </w:r>
          </w:p>
        </w:tc>
      </w:tr>
      <w:tr w:rsidR="00E27CD3" w:rsidRPr="002B67C3" w:rsidTr="00726B11">
        <w:trPr>
          <w:trHeight w:val="436"/>
        </w:trPr>
        <w:tc>
          <w:tcPr>
            <w:tcW w:w="559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CD3" w:rsidRPr="002B67C3" w:rsidRDefault="00E27CD3" w:rsidP="00E2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11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F0960" w:rsidRPr="002B67C3" w:rsidRDefault="00E27CD3" w:rsidP="00CF0960">
            <w:pPr>
              <w:rPr>
                <w:rFonts w:ascii="Times New Roman" w:hAnsi="Times New Roman" w:cs="Times New Roman"/>
              </w:rPr>
            </w:pPr>
            <w:r w:rsidRPr="002B67C3">
              <w:rPr>
                <w:rFonts w:ascii="Times New Roman" w:hAnsi="Times New Roman" w:cs="Times New Roman"/>
              </w:rPr>
              <w:t xml:space="preserve">Срок вклада </w:t>
            </w:r>
          </w:p>
          <w:p w:rsidR="00E27CD3" w:rsidRPr="002B67C3" w:rsidRDefault="00E27CD3" w:rsidP="00E27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CD3" w:rsidRPr="002B67C3" w:rsidRDefault="00E27CD3" w:rsidP="00E2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360 (Триста шестьдесят) дней</w:t>
            </w:r>
          </w:p>
        </w:tc>
      </w:tr>
      <w:tr w:rsidR="002B67C3" w:rsidRPr="002B67C3" w:rsidTr="0096769A">
        <w:trPr>
          <w:trHeight w:val="1067"/>
        </w:trPr>
        <w:tc>
          <w:tcPr>
            <w:tcW w:w="559" w:type="dxa"/>
            <w:vMerge w:val="restart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B67C3" w:rsidRPr="002B67C3" w:rsidRDefault="002B67C3" w:rsidP="002B6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11" w:type="dxa"/>
            <w:vMerge w:val="restart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B67C3" w:rsidRPr="002B24C9" w:rsidRDefault="002B67C3" w:rsidP="002B6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24C9">
              <w:rPr>
                <w:rFonts w:ascii="Times New Roman" w:hAnsi="Times New Roman" w:cs="Times New Roman"/>
                <w:sz w:val="16"/>
                <w:szCs w:val="16"/>
              </w:rPr>
              <w:t>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:rsidR="002B67C3" w:rsidRPr="002B24C9" w:rsidRDefault="002B67C3" w:rsidP="002B6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4C9">
              <w:rPr>
                <w:rFonts w:ascii="Times New Roman" w:hAnsi="Times New Roman" w:cs="Times New Roman"/>
                <w:sz w:val="16"/>
                <w:szCs w:val="16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198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B67C3" w:rsidRPr="002B67C3" w:rsidRDefault="002B67C3" w:rsidP="002B67C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7C3">
              <w:rPr>
                <w:rFonts w:ascii="Times New Roman" w:hAnsi="Times New Roman" w:cs="Times New Roman"/>
              </w:rPr>
              <w:t xml:space="preserve">неснижаемый остаток </w:t>
            </w:r>
          </w:p>
          <w:p w:rsidR="002B67C3" w:rsidRPr="002B67C3" w:rsidRDefault="002B67C3" w:rsidP="002B67C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7C3">
              <w:rPr>
                <w:rFonts w:ascii="Times New Roman" w:hAnsi="Times New Roman" w:cs="Times New Roman"/>
              </w:rPr>
              <w:t>50 000,00 руб.</w:t>
            </w:r>
          </w:p>
        </w:tc>
        <w:tc>
          <w:tcPr>
            <w:tcW w:w="1984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vAlign w:val="center"/>
          </w:tcPr>
          <w:p w:rsidR="002B67C3" w:rsidRPr="002B67C3" w:rsidRDefault="00462BE8" w:rsidP="002B67C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A1F31">
              <w:rPr>
                <w:rFonts w:ascii="Times New Roman" w:hAnsi="Times New Roman" w:cs="Times New Roman"/>
              </w:rPr>
              <w:t>,</w:t>
            </w:r>
            <w:r w:rsidR="00AE737F">
              <w:rPr>
                <w:rFonts w:ascii="Times New Roman" w:hAnsi="Times New Roman" w:cs="Times New Roman"/>
              </w:rPr>
              <w:t>5</w:t>
            </w:r>
            <w:r w:rsidR="00CA1F31">
              <w:rPr>
                <w:rFonts w:ascii="Times New Roman" w:hAnsi="Times New Roman" w:cs="Times New Roman"/>
              </w:rPr>
              <w:t>0</w:t>
            </w:r>
            <w:r w:rsidR="002B67C3" w:rsidRPr="002B67C3">
              <w:rPr>
                <w:rFonts w:ascii="Times New Roman" w:hAnsi="Times New Roman" w:cs="Times New Roman"/>
              </w:rPr>
              <w:t xml:space="preserve"> процентов годовых</w:t>
            </w:r>
          </w:p>
        </w:tc>
        <w:tc>
          <w:tcPr>
            <w:tcW w:w="1985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vAlign w:val="center"/>
          </w:tcPr>
          <w:p w:rsidR="002B67C3" w:rsidRPr="002B67C3" w:rsidRDefault="002B67C3" w:rsidP="002B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hAnsi="Times New Roman" w:cs="Times New Roman"/>
              </w:rPr>
              <w:t xml:space="preserve">Минимальная гарантированная ставка </w:t>
            </w:r>
            <w:r w:rsidRPr="002B67C3">
              <w:rPr>
                <w:rFonts w:ascii="Times New Roman" w:hAnsi="Times New Roman" w:cs="Times New Roman"/>
              </w:rPr>
              <w:br/>
            </w:r>
            <w:r w:rsidR="00846DFF">
              <w:rPr>
                <w:rFonts w:ascii="Times New Roman" w:hAnsi="Times New Roman" w:cs="Times New Roman"/>
              </w:rPr>
              <w:t>7,759</w:t>
            </w:r>
            <w:r w:rsidR="00924C8C">
              <w:rPr>
                <w:rFonts w:ascii="Times New Roman" w:hAnsi="Times New Roman" w:cs="Times New Roman"/>
              </w:rPr>
              <w:t xml:space="preserve"> </w:t>
            </w:r>
            <w:r w:rsidRPr="002B67C3">
              <w:rPr>
                <w:rFonts w:ascii="Times New Roman" w:hAnsi="Times New Roman" w:cs="Times New Roman"/>
              </w:rPr>
              <w:t>процентов годовых*</w:t>
            </w:r>
          </w:p>
        </w:tc>
      </w:tr>
      <w:tr w:rsidR="003F5B69" w:rsidRPr="002B67C3" w:rsidTr="003F5B69">
        <w:trPr>
          <w:trHeight w:val="1066"/>
        </w:trPr>
        <w:tc>
          <w:tcPr>
            <w:tcW w:w="559" w:type="dxa"/>
            <w:vMerge/>
            <w:tcBorders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F5B69" w:rsidRPr="002B67C3" w:rsidRDefault="003F5B69" w:rsidP="003F5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F5B69" w:rsidRPr="002B67C3" w:rsidRDefault="003F5B69" w:rsidP="003F5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F5B69" w:rsidRPr="002B67C3" w:rsidRDefault="003F5B69" w:rsidP="003F5B69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7C3">
              <w:rPr>
                <w:rFonts w:ascii="Times New Roman" w:hAnsi="Times New Roman" w:cs="Times New Roman"/>
              </w:rPr>
              <w:t xml:space="preserve">неснижаемый остаток </w:t>
            </w:r>
          </w:p>
          <w:p w:rsidR="003F5B69" w:rsidRPr="002B67C3" w:rsidRDefault="003F5B69" w:rsidP="003F5B69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7C3">
              <w:rPr>
                <w:rFonts w:ascii="Times New Roman" w:hAnsi="Times New Roman" w:cs="Times New Roman"/>
              </w:rPr>
              <w:t>100 000,00 руб.</w:t>
            </w:r>
          </w:p>
        </w:tc>
        <w:tc>
          <w:tcPr>
            <w:tcW w:w="1984" w:type="dxa"/>
            <w:tcBorders>
              <w:left w:val="single" w:sz="6" w:space="0" w:color="B4B0B0"/>
              <w:right w:val="single" w:sz="6" w:space="0" w:color="B4B0B0"/>
            </w:tcBorders>
            <w:vAlign w:val="center"/>
          </w:tcPr>
          <w:p w:rsidR="003F5B69" w:rsidRPr="002B67C3" w:rsidRDefault="00462BE8" w:rsidP="003F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A1F31">
              <w:rPr>
                <w:rFonts w:ascii="Times New Roman" w:hAnsi="Times New Roman" w:cs="Times New Roman"/>
              </w:rPr>
              <w:t>,</w:t>
            </w:r>
            <w:r w:rsidR="00AE737F">
              <w:rPr>
                <w:rFonts w:ascii="Times New Roman" w:hAnsi="Times New Roman" w:cs="Times New Roman"/>
              </w:rPr>
              <w:t>0</w:t>
            </w:r>
            <w:r w:rsidR="00CA1F31">
              <w:rPr>
                <w:rFonts w:ascii="Times New Roman" w:hAnsi="Times New Roman" w:cs="Times New Roman"/>
              </w:rPr>
              <w:t>0</w:t>
            </w:r>
            <w:r w:rsidR="003F5B69" w:rsidRPr="002B67C3">
              <w:rPr>
                <w:rFonts w:ascii="Times New Roman" w:hAnsi="Times New Roman" w:cs="Times New Roman"/>
              </w:rPr>
              <w:t xml:space="preserve"> процентов годовых</w:t>
            </w:r>
          </w:p>
        </w:tc>
        <w:tc>
          <w:tcPr>
            <w:tcW w:w="1985" w:type="dxa"/>
            <w:tcBorders>
              <w:left w:val="single" w:sz="6" w:space="0" w:color="B4B0B0"/>
              <w:right w:val="single" w:sz="6" w:space="0" w:color="B4B0B0"/>
            </w:tcBorders>
            <w:vAlign w:val="center"/>
          </w:tcPr>
          <w:p w:rsidR="003F5B69" w:rsidRPr="002B67C3" w:rsidRDefault="003F5B69" w:rsidP="003F5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C3">
              <w:rPr>
                <w:rFonts w:ascii="Times New Roman" w:hAnsi="Times New Roman" w:cs="Times New Roman"/>
              </w:rPr>
              <w:t xml:space="preserve">Минимальная гарантированная ставка </w:t>
            </w:r>
            <w:r w:rsidRPr="002B67C3">
              <w:rPr>
                <w:rFonts w:ascii="Times New Roman" w:hAnsi="Times New Roman" w:cs="Times New Roman"/>
              </w:rPr>
              <w:br/>
            </w:r>
            <w:r w:rsidR="00846DFF">
              <w:rPr>
                <w:rFonts w:ascii="Times New Roman" w:hAnsi="Times New Roman" w:cs="Times New Roman"/>
              </w:rPr>
              <w:t>8,296</w:t>
            </w:r>
            <w:r w:rsidRPr="002B67C3">
              <w:rPr>
                <w:rFonts w:ascii="Times New Roman" w:hAnsi="Times New Roman" w:cs="Times New Roman"/>
              </w:rPr>
              <w:t xml:space="preserve"> процентов годовых*</w:t>
            </w:r>
          </w:p>
        </w:tc>
      </w:tr>
      <w:tr w:rsidR="003F5B69" w:rsidRPr="002B67C3" w:rsidTr="003F5B69">
        <w:trPr>
          <w:trHeight w:val="1066"/>
        </w:trPr>
        <w:tc>
          <w:tcPr>
            <w:tcW w:w="559" w:type="dxa"/>
            <w:vMerge/>
            <w:tcBorders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F5B69" w:rsidRPr="002B67C3" w:rsidRDefault="003F5B69" w:rsidP="003F5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F5B69" w:rsidRPr="002B67C3" w:rsidRDefault="003F5B69" w:rsidP="003F5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F5B69" w:rsidRPr="002B67C3" w:rsidRDefault="003F5B69" w:rsidP="003F5B69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7C3">
              <w:rPr>
                <w:rFonts w:ascii="Times New Roman" w:hAnsi="Times New Roman" w:cs="Times New Roman"/>
              </w:rPr>
              <w:t xml:space="preserve">неснижаемый остаток </w:t>
            </w:r>
          </w:p>
          <w:p w:rsidR="003F5B69" w:rsidRPr="002B67C3" w:rsidRDefault="003F5B69" w:rsidP="003F5B69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7C3">
              <w:rPr>
                <w:rFonts w:ascii="Times New Roman" w:hAnsi="Times New Roman" w:cs="Times New Roman"/>
              </w:rPr>
              <w:t>1 000 000,00 руб.</w:t>
            </w:r>
          </w:p>
        </w:tc>
        <w:tc>
          <w:tcPr>
            <w:tcW w:w="1984" w:type="dxa"/>
            <w:tcBorders>
              <w:left w:val="single" w:sz="6" w:space="0" w:color="B4B0B0"/>
              <w:right w:val="single" w:sz="6" w:space="0" w:color="B4B0B0"/>
            </w:tcBorders>
            <w:vAlign w:val="center"/>
          </w:tcPr>
          <w:p w:rsidR="003F5B69" w:rsidRPr="002B67C3" w:rsidRDefault="00462BE8" w:rsidP="003F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53921">
              <w:rPr>
                <w:rFonts w:ascii="Times New Roman" w:hAnsi="Times New Roman" w:cs="Times New Roman"/>
              </w:rPr>
              <w:t>,</w:t>
            </w:r>
            <w:r w:rsidR="00AE737F">
              <w:rPr>
                <w:rFonts w:ascii="Times New Roman" w:hAnsi="Times New Roman" w:cs="Times New Roman"/>
              </w:rPr>
              <w:t>5</w:t>
            </w:r>
            <w:r w:rsidR="00C53921">
              <w:rPr>
                <w:rFonts w:ascii="Times New Roman" w:hAnsi="Times New Roman" w:cs="Times New Roman"/>
              </w:rPr>
              <w:t>0</w:t>
            </w:r>
            <w:r w:rsidR="003F5B69" w:rsidRPr="002B67C3">
              <w:rPr>
                <w:rFonts w:ascii="Times New Roman" w:hAnsi="Times New Roman" w:cs="Times New Roman"/>
              </w:rPr>
              <w:t xml:space="preserve"> процентов годовых</w:t>
            </w:r>
          </w:p>
        </w:tc>
        <w:tc>
          <w:tcPr>
            <w:tcW w:w="1985" w:type="dxa"/>
            <w:tcBorders>
              <w:left w:val="single" w:sz="6" w:space="0" w:color="B4B0B0"/>
              <w:right w:val="single" w:sz="6" w:space="0" w:color="B4B0B0"/>
            </w:tcBorders>
            <w:vAlign w:val="center"/>
          </w:tcPr>
          <w:p w:rsidR="003F5B69" w:rsidRPr="002B67C3" w:rsidRDefault="003F5B69" w:rsidP="003F5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C3">
              <w:rPr>
                <w:rFonts w:ascii="Times New Roman" w:hAnsi="Times New Roman" w:cs="Times New Roman"/>
              </w:rPr>
              <w:t xml:space="preserve">Минимальная гарантированная ставка </w:t>
            </w:r>
            <w:r w:rsidRPr="002B67C3">
              <w:rPr>
                <w:rFonts w:ascii="Times New Roman" w:hAnsi="Times New Roman" w:cs="Times New Roman"/>
              </w:rPr>
              <w:br/>
              <w:t xml:space="preserve"> </w:t>
            </w:r>
            <w:r w:rsidR="00846DFF">
              <w:rPr>
                <w:rFonts w:ascii="Times New Roman" w:hAnsi="Times New Roman" w:cs="Times New Roman"/>
              </w:rPr>
              <w:t xml:space="preserve">8,834 </w:t>
            </w:r>
            <w:r w:rsidRPr="002B67C3">
              <w:rPr>
                <w:rFonts w:ascii="Times New Roman" w:hAnsi="Times New Roman" w:cs="Times New Roman"/>
              </w:rPr>
              <w:t>процентов годовых*</w:t>
            </w:r>
          </w:p>
        </w:tc>
      </w:tr>
      <w:tr w:rsidR="003F5B69" w:rsidRPr="002B67C3" w:rsidTr="003F5B69">
        <w:trPr>
          <w:trHeight w:val="1066"/>
        </w:trPr>
        <w:tc>
          <w:tcPr>
            <w:tcW w:w="559" w:type="dxa"/>
            <w:vMerge/>
            <w:tcBorders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F5B69" w:rsidRPr="002B67C3" w:rsidRDefault="003F5B69" w:rsidP="003F5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F5B69" w:rsidRPr="002B67C3" w:rsidRDefault="003F5B69" w:rsidP="003F5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F5B69" w:rsidRPr="002B67C3" w:rsidRDefault="003F5B69" w:rsidP="003F5B69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7C3">
              <w:rPr>
                <w:rFonts w:ascii="Times New Roman" w:hAnsi="Times New Roman" w:cs="Times New Roman"/>
              </w:rPr>
              <w:t xml:space="preserve">неснижаемый остаток </w:t>
            </w:r>
          </w:p>
          <w:p w:rsidR="003F5B69" w:rsidRPr="002B67C3" w:rsidRDefault="003F5B69" w:rsidP="003F5B69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7C3">
              <w:rPr>
                <w:rFonts w:ascii="Times New Roman" w:hAnsi="Times New Roman" w:cs="Times New Roman"/>
              </w:rPr>
              <w:t>5 000 000,00 руб.</w:t>
            </w:r>
          </w:p>
        </w:tc>
        <w:tc>
          <w:tcPr>
            <w:tcW w:w="1984" w:type="dxa"/>
            <w:tcBorders>
              <w:left w:val="single" w:sz="6" w:space="0" w:color="B4B0B0"/>
              <w:bottom w:val="single" w:sz="6" w:space="0" w:color="B4B0B0"/>
              <w:right w:val="single" w:sz="6" w:space="0" w:color="B4B0B0"/>
            </w:tcBorders>
            <w:vAlign w:val="center"/>
          </w:tcPr>
          <w:p w:rsidR="003F5B69" w:rsidRPr="002B67C3" w:rsidRDefault="00462BE8" w:rsidP="003F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E737F">
              <w:rPr>
                <w:rFonts w:ascii="Times New Roman" w:hAnsi="Times New Roman" w:cs="Times New Roman"/>
              </w:rPr>
              <w:t>,00</w:t>
            </w:r>
            <w:r w:rsidR="003F5B69" w:rsidRPr="002B67C3">
              <w:rPr>
                <w:rFonts w:ascii="Times New Roman" w:hAnsi="Times New Roman" w:cs="Times New Roman"/>
              </w:rPr>
              <w:t xml:space="preserve"> процентов годовых</w:t>
            </w:r>
          </w:p>
        </w:tc>
        <w:tc>
          <w:tcPr>
            <w:tcW w:w="1985" w:type="dxa"/>
            <w:tcBorders>
              <w:left w:val="single" w:sz="6" w:space="0" w:color="B4B0B0"/>
              <w:bottom w:val="single" w:sz="6" w:space="0" w:color="B4B0B0"/>
              <w:right w:val="single" w:sz="6" w:space="0" w:color="B4B0B0"/>
            </w:tcBorders>
            <w:vAlign w:val="center"/>
          </w:tcPr>
          <w:p w:rsidR="003F5B69" w:rsidRPr="002B67C3" w:rsidRDefault="003F5B69" w:rsidP="003F5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C3">
              <w:rPr>
                <w:rFonts w:ascii="Times New Roman" w:hAnsi="Times New Roman" w:cs="Times New Roman"/>
              </w:rPr>
              <w:t xml:space="preserve">Минимальная гарантированная ставка </w:t>
            </w:r>
            <w:r w:rsidRPr="002B67C3">
              <w:rPr>
                <w:rFonts w:ascii="Times New Roman" w:hAnsi="Times New Roman" w:cs="Times New Roman"/>
              </w:rPr>
              <w:br/>
            </w:r>
            <w:r w:rsidR="00846DFF">
              <w:rPr>
                <w:rFonts w:ascii="Times New Roman" w:hAnsi="Times New Roman" w:cs="Times New Roman"/>
              </w:rPr>
              <w:t>9,375</w:t>
            </w:r>
            <w:r w:rsidR="00C53921">
              <w:rPr>
                <w:rFonts w:ascii="Times New Roman" w:hAnsi="Times New Roman" w:cs="Times New Roman"/>
              </w:rPr>
              <w:t xml:space="preserve"> </w:t>
            </w:r>
            <w:r w:rsidRPr="002B67C3">
              <w:rPr>
                <w:rFonts w:ascii="Times New Roman" w:hAnsi="Times New Roman" w:cs="Times New Roman"/>
              </w:rPr>
              <w:t>процентов годовых*</w:t>
            </w:r>
          </w:p>
        </w:tc>
      </w:tr>
      <w:tr w:rsidR="00726B11" w:rsidRPr="002B67C3" w:rsidTr="00726B11">
        <w:trPr>
          <w:trHeight w:val="436"/>
        </w:trPr>
        <w:tc>
          <w:tcPr>
            <w:tcW w:w="559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726B11" w:rsidRPr="002B67C3" w:rsidRDefault="00726B11" w:rsidP="00726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411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726B11" w:rsidRPr="002B67C3" w:rsidRDefault="00726B11" w:rsidP="00726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Порядок выплаты вкладчику процентов по вкладу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726B11" w:rsidRPr="002B67C3" w:rsidRDefault="00726B11" w:rsidP="0072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 xml:space="preserve">Начисленные проценты присоединяются к сумме вклада и увеличивают сумму вклада, на которую начисляются проценты. </w:t>
            </w:r>
          </w:p>
        </w:tc>
      </w:tr>
      <w:tr w:rsidR="00726B11" w:rsidRPr="002B67C3" w:rsidTr="00726B11">
        <w:trPr>
          <w:trHeight w:val="436"/>
        </w:trPr>
        <w:tc>
          <w:tcPr>
            <w:tcW w:w="559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726B11" w:rsidRPr="002B67C3" w:rsidRDefault="00726B11" w:rsidP="00726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11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726B11" w:rsidRPr="002B67C3" w:rsidRDefault="00726B11" w:rsidP="00726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726B11" w:rsidRPr="002B67C3" w:rsidRDefault="00726B11" w:rsidP="00726B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67C3">
              <w:rPr>
                <w:rFonts w:ascii="Times New Roman" w:hAnsi="Times New Roman" w:cs="Times New Roman"/>
              </w:rPr>
              <w:t>При досрочном востребовании до дня окончания срока договора всей суммы вклада либо востребовании части вклада, если в результате такого востребования остаток вклада становится меньше неснижаемого остатка,</w:t>
            </w:r>
            <w:r w:rsidRPr="002B67C3">
              <w:rPr>
                <w:rFonts w:ascii="Times New Roman" w:hAnsi="Times New Roman" w:cs="Times New Roman"/>
                <w:lang w:eastAsia="ru-RU"/>
              </w:rPr>
              <w:t xml:space="preserve"> указанного в пункте 2 настоящих условий</w:t>
            </w:r>
            <w:r w:rsidRPr="002B67C3">
              <w:rPr>
                <w:rFonts w:ascii="Times New Roman" w:hAnsi="Times New Roman" w:cs="Times New Roman"/>
              </w:rPr>
              <w:t>:</w:t>
            </w:r>
          </w:p>
          <w:p w:rsidR="00726B11" w:rsidRPr="002B67C3" w:rsidRDefault="00726B11" w:rsidP="00726B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67C3">
              <w:rPr>
                <w:rFonts w:ascii="Times New Roman" w:hAnsi="Times New Roman" w:cs="Times New Roman"/>
              </w:rPr>
              <w:t>- проценты за месяцы хранения вклада, предшествующие последнему неполному месяцу хранения, начисляются на сумму вклада по ставке, указанной в пункте 5 настоящих условий;</w:t>
            </w:r>
          </w:p>
          <w:p w:rsidR="00726B11" w:rsidRPr="002B67C3" w:rsidRDefault="00726B11" w:rsidP="00726B1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hAnsi="Times New Roman" w:cs="Times New Roman"/>
              </w:rPr>
              <w:t xml:space="preserve">- проценты за последний неполный месяц хранения вклада начисляются на сумму вклада по ставке вклада «до востребования», действующей на день досрочного востребования вклада. </w:t>
            </w:r>
          </w:p>
        </w:tc>
      </w:tr>
      <w:tr w:rsidR="00726B11" w:rsidRPr="002B67C3" w:rsidTr="00726B11">
        <w:trPr>
          <w:trHeight w:val="436"/>
        </w:trPr>
        <w:tc>
          <w:tcPr>
            <w:tcW w:w="559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726B11" w:rsidRPr="002B67C3" w:rsidRDefault="00726B11" w:rsidP="00726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11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726B11" w:rsidRPr="002B67C3" w:rsidRDefault="00726B11" w:rsidP="00726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726B11" w:rsidRPr="002B67C3" w:rsidRDefault="00726B11" w:rsidP="00726B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По вкладу возможна выдача части суммы вклада при условии, что остаток</w:t>
            </w:r>
            <w:r w:rsidRPr="002B67C3">
              <w:rPr>
                <w:rFonts w:ascii="Times New Roman" w:hAnsi="Times New Roman" w:cs="Times New Roman"/>
                <w:lang w:eastAsia="ru-RU"/>
              </w:rPr>
              <w:t xml:space="preserve"> вклада после расходной операции будет не менее неснижаемого остатка, указанного в пункте 2 настоящих условий. </w:t>
            </w:r>
          </w:p>
          <w:p w:rsidR="00726B11" w:rsidRPr="002B67C3" w:rsidRDefault="00726B11" w:rsidP="0072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6B11" w:rsidRPr="002B67C3" w:rsidTr="00726B11">
        <w:trPr>
          <w:trHeight w:val="436"/>
        </w:trPr>
        <w:tc>
          <w:tcPr>
            <w:tcW w:w="559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726B11" w:rsidRPr="002B67C3" w:rsidRDefault="00726B11" w:rsidP="00726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11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726B11" w:rsidRPr="002B67C3" w:rsidRDefault="00726B11" w:rsidP="00726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Возможность и порядок продления срока срочного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726B11" w:rsidRPr="002B67C3" w:rsidRDefault="00726B11" w:rsidP="00726B11">
            <w:pPr>
              <w:spacing w:after="0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2B67C3">
              <w:rPr>
                <w:rFonts w:ascii="Times New Roman" w:eastAsia="MS Mincho" w:hAnsi="Times New Roman" w:cs="Times New Roman"/>
                <w:noProof/>
              </w:rPr>
              <w:t>Возобновление не более 1 раза.</w:t>
            </w:r>
          </w:p>
          <w:p w:rsidR="00726B11" w:rsidRPr="002B67C3" w:rsidRDefault="00726B11" w:rsidP="00726B1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MS Mincho" w:hAnsi="Times New Roman" w:cs="Times New Roman"/>
                <w:noProof/>
              </w:rPr>
              <w:t>При невостребовании вклада по окончании срока договора, договор считается возобновленным на тот же срок со дня, следующего за последним днем истекшего срока, под ставку, применяемую для вновь открываемых в Банке вкладов данного типа в последний день срока возобновляемого вклада. Сумма возобновляемого вклада равна сумме вклада вместе с начисленными в соответствии с настоящим договором процентами. При отсутствии на дату возобновления Договора вклада данного типа Договор возобновляется под ставку</w:t>
            </w:r>
            <w:r w:rsidRPr="002B67C3">
              <w:rPr>
                <w:rFonts w:ascii="Times New Roman" w:hAnsi="Times New Roman" w:cs="Times New Roman"/>
              </w:rPr>
              <w:t xml:space="preserve"> вклада «до востребования», действующую </w:t>
            </w:r>
            <w:r w:rsidRPr="002B67C3">
              <w:rPr>
                <w:rFonts w:ascii="Times New Roman" w:eastAsia="MS Mincho" w:hAnsi="Times New Roman" w:cs="Times New Roman"/>
                <w:noProof/>
              </w:rPr>
              <w:t>в последний день срока возобновляемого вклада.</w:t>
            </w:r>
          </w:p>
        </w:tc>
      </w:tr>
      <w:tr w:rsidR="00726B11" w:rsidRPr="002B67C3" w:rsidTr="00726B11">
        <w:trPr>
          <w:trHeight w:val="436"/>
        </w:trPr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single" w:sz="4" w:space="0" w:color="A5A5A5" w:themeColor="accent3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726B11" w:rsidRPr="002B67C3" w:rsidRDefault="00726B11" w:rsidP="00726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11" w:type="dxa"/>
            <w:tcBorders>
              <w:top w:val="single" w:sz="6" w:space="0" w:color="B4B0B0"/>
              <w:left w:val="single" w:sz="6" w:space="0" w:color="B4B0B0"/>
              <w:bottom w:val="single" w:sz="4" w:space="0" w:color="A5A5A5" w:themeColor="accent3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726B11" w:rsidRPr="002B67C3" w:rsidRDefault="00726B11" w:rsidP="00726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Способ обмена информацией между банком и вкладчиком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0656E" w:rsidRPr="00765FAA" w:rsidRDefault="0060656E" w:rsidP="00606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 xml:space="preserve">Обмен информацией между Банком и Вкладчиком (в том числе информирование Банком Вкладчика об окончании срока Вклада) осуществляется одним из следующим способов: </w:t>
            </w:r>
          </w:p>
          <w:p w:rsidR="0060656E" w:rsidRPr="00765FAA" w:rsidRDefault="0060656E" w:rsidP="00606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- СМС - информированием на номер мобильного телефона: +7 ________________________</w:t>
            </w:r>
          </w:p>
          <w:p w:rsidR="00726B11" w:rsidRPr="002B67C3" w:rsidRDefault="0060656E" w:rsidP="00606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- по электронной почте: ________________________</w:t>
            </w:r>
          </w:p>
        </w:tc>
      </w:tr>
      <w:tr w:rsidR="002B67C3" w:rsidRPr="002B24C9" w:rsidTr="002B67C3">
        <w:trPr>
          <w:trHeight w:val="436"/>
        </w:trPr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single" w:sz="4" w:space="0" w:color="A5A5A5" w:themeColor="accent3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B67C3" w:rsidRPr="002B24C9" w:rsidRDefault="002B67C3" w:rsidP="00EB3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11" w:type="dxa"/>
            <w:tcBorders>
              <w:top w:val="single" w:sz="6" w:space="0" w:color="B4B0B0"/>
              <w:left w:val="single" w:sz="6" w:space="0" w:color="B4B0B0"/>
              <w:bottom w:val="single" w:sz="4" w:space="0" w:color="A5A5A5" w:themeColor="accent3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B67C3" w:rsidRPr="002B24C9" w:rsidRDefault="002B67C3" w:rsidP="00EB3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Перечисление Вклада по окончании срока договора при невостребовании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B67C3" w:rsidRPr="002B24C9" w:rsidRDefault="002B67C3" w:rsidP="00EB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При невостребовании Вклада по окончании срока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7707A">
              <w:rPr>
                <w:rFonts w:ascii="Times New Roman" w:eastAsia="Times New Roman" w:hAnsi="Times New Roman" w:cs="Times New Roman"/>
                <w:lang w:eastAsia="ru-RU"/>
              </w:rPr>
              <w:t>возобновленного 1 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 сумма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Вклада вместе с начисленными процентами перечисляется на счет Вкладчика, открытый в ПАО УКБ «Новобанк».</w:t>
            </w:r>
          </w:p>
        </w:tc>
      </w:tr>
    </w:tbl>
    <w:p w:rsidR="0077230C" w:rsidRPr="00686339" w:rsidRDefault="0077230C" w:rsidP="0077230C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686339">
        <w:rPr>
          <w:rFonts w:ascii="Times New Roman" w:eastAsia="Times New Roman" w:hAnsi="Times New Roman" w:cs="Times New Roman"/>
          <w:sz w:val="16"/>
          <w:szCs w:val="16"/>
          <w:lang w:eastAsia="ru-RU"/>
        </w:rPr>
        <w:t>*минимальная гарантированная ставка по вкладу рассчитана в соответствии с</w:t>
      </w:r>
      <w:r w:rsidRPr="00686339">
        <w:rPr>
          <w:rFonts w:ascii="Times New Roman" w:hAnsi="Times New Roman" w:cs="Times New Roman"/>
          <w:sz w:val="16"/>
          <w:szCs w:val="16"/>
        </w:rPr>
        <w:t xml:space="preserve"> Порядком, установленным Банком России.</w:t>
      </w:r>
      <w:r w:rsidR="00420C4B" w:rsidRPr="00686339">
        <w:rPr>
          <w:rFonts w:ascii="Times New Roman" w:hAnsi="Times New Roman" w:cs="Times New Roman"/>
          <w:sz w:val="16"/>
          <w:szCs w:val="16"/>
        </w:rPr>
        <w:t xml:space="preserve"> При расчете использовано количество календарных дней в году равное 365 дням.</w:t>
      </w:r>
    </w:p>
    <w:p w:rsidR="0077230C" w:rsidRPr="00726B11" w:rsidRDefault="0077230C" w:rsidP="00CF09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Hlk108380191"/>
    </w:p>
    <w:p w:rsidR="00DE7D97" w:rsidRPr="00686339" w:rsidRDefault="00DE7D97" w:rsidP="00CF096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86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Общие условия обслуживания вкладов, права, обязанности и ответственность сторон, гарантии Банка определены в Порядке </w:t>
      </w:r>
      <w:r w:rsidRPr="00686339">
        <w:rPr>
          <w:rFonts w:ascii="Times New Roman" w:hAnsi="Times New Roman" w:cs="Times New Roman"/>
          <w:sz w:val="24"/>
          <w:szCs w:val="24"/>
        </w:rPr>
        <w:t>заключения и исполнения договора срочного вклада, являющимся неотъемлемой частью Правил комплексного банковского обслуживания физических лиц в ПАО УКБ «Новобанк».</w:t>
      </w:r>
    </w:p>
    <w:p w:rsidR="00DE7D97" w:rsidRPr="00726B11" w:rsidRDefault="00DE7D97" w:rsidP="00DE7D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D97" w:rsidRDefault="00DE7D97" w:rsidP="00DE7D97">
      <w:pPr>
        <w:pStyle w:val="a3"/>
        <w:jc w:val="both"/>
        <w:rPr>
          <w:rFonts w:ascii="Times New Roman" w:eastAsia="MS Mincho" w:hAnsi="Times New Roman" w:cs="Times New Roman"/>
          <w:bCs/>
        </w:rPr>
      </w:pPr>
    </w:p>
    <w:p w:rsidR="0072283C" w:rsidRDefault="0072283C" w:rsidP="00195260">
      <w:pPr>
        <w:pStyle w:val="a3"/>
        <w:ind w:firstLine="284"/>
        <w:jc w:val="both"/>
        <w:rPr>
          <w:rFonts w:ascii="Times New Roman" w:eastAsia="MS Mincho" w:hAnsi="Times New Roman" w:cs="Times New Roman"/>
          <w:bCs/>
        </w:rPr>
      </w:pPr>
    </w:p>
    <w:bookmarkEnd w:id="2"/>
    <w:sectPr w:rsidR="0072283C" w:rsidSect="00572701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239" w:rsidRDefault="00A83239" w:rsidP="00892569">
      <w:pPr>
        <w:spacing w:after="0" w:line="240" w:lineRule="auto"/>
      </w:pPr>
      <w:r>
        <w:separator/>
      </w:r>
    </w:p>
  </w:endnote>
  <w:endnote w:type="continuationSeparator" w:id="0">
    <w:p w:rsidR="00A83239" w:rsidRDefault="00A83239" w:rsidP="0089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239" w:rsidRDefault="00A83239" w:rsidP="00892569">
      <w:pPr>
        <w:spacing w:after="0" w:line="240" w:lineRule="auto"/>
      </w:pPr>
      <w:r>
        <w:separator/>
      </w:r>
    </w:p>
  </w:footnote>
  <w:footnote w:type="continuationSeparator" w:id="0">
    <w:p w:rsidR="00A83239" w:rsidRDefault="00A83239" w:rsidP="00892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5B21"/>
    <w:multiLevelType w:val="hybridMultilevel"/>
    <w:tmpl w:val="216C6D3A"/>
    <w:lvl w:ilvl="0" w:tplc="6DAE44C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DC4D3D"/>
    <w:multiLevelType w:val="multilevel"/>
    <w:tmpl w:val="C9848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47"/>
    <w:rsid w:val="00020C50"/>
    <w:rsid w:val="00053BE8"/>
    <w:rsid w:val="000561BB"/>
    <w:rsid w:val="0006378E"/>
    <w:rsid w:val="00082CC0"/>
    <w:rsid w:val="000A21E7"/>
    <w:rsid w:val="000B6D00"/>
    <w:rsid w:val="000C6DD3"/>
    <w:rsid w:val="000F5C92"/>
    <w:rsid w:val="00137B44"/>
    <w:rsid w:val="00194302"/>
    <w:rsid w:val="00195260"/>
    <w:rsid w:val="001C55F3"/>
    <w:rsid w:val="002044F5"/>
    <w:rsid w:val="0029093D"/>
    <w:rsid w:val="002B67C3"/>
    <w:rsid w:val="002D3979"/>
    <w:rsid w:val="00313F09"/>
    <w:rsid w:val="00327041"/>
    <w:rsid w:val="003A0245"/>
    <w:rsid w:val="003A671F"/>
    <w:rsid w:val="003E6AA4"/>
    <w:rsid w:val="003F5B69"/>
    <w:rsid w:val="004042CA"/>
    <w:rsid w:val="00420C4B"/>
    <w:rsid w:val="00436840"/>
    <w:rsid w:val="00456CB3"/>
    <w:rsid w:val="00462BE8"/>
    <w:rsid w:val="004671B4"/>
    <w:rsid w:val="00477F6E"/>
    <w:rsid w:val="0050471E"/>
    <w:rsid w:val="00550A96"/>
    <w:rsid w:val="00572701"/>
    <w:rsid w:val="0057707A"/>
    <w:rsid w:val="005A4F8F"/>
    <w:rsid w:val="0060656E"/>
    <w:rsid w:val="00627FA2"/>
    <w:rsid w:val="00657CAF"/>
    <w:rsid w:val="00686339"/>
    <w:rsid w:val="00693D8F"/>
    <w:rsid w:val="006B28EF"/>
    <w:rsid w:val="006C794B"/>
    <w:rsid w:val="006E4A2B"/>
    <w:rsid w:val="00702E4F"/>
    <w:rsid w:val="00721A52"/>
    <w:rsid w:val="0072283C"/>
    <w:rsid w:val="00726B11"/>
    <w:rsid w:val="007458F5"/>
    <w:rsid w:val="007519CF"/>
    <w:rsid w:val="00753E22"/>
    <w:rsid w:val="0077230C"/>
    <w:rsid w:val="00775E6E"/>
    <w:rsid w:val="00776A80"/>
    <w:rsid w:val="00784569"/>
    <w:rsid w:val="007B7AC6"/>
    <w:rsid w:val="007F1926"/>
    <w:rsid w:val="00811F9C"/>
    <w:rsid w:val="00846DFF"/>
    <w:rsid w:val="008773A2"/>
    <w:rsid w:val="00886283"/>
    <w:rsid w:val="00892569"/>
    <w:rsid w:val="0089728D"/>
    <w:rsid w:val="008E4160"/>
    <w:rsid w:val="008F1970"/>
    <w:rsid w:val="008F467E"/>
    <w:rsid w:val="009044D3"/>
    <w:rsid w:val="00924C8C"/>
    <w:rsid w:val="0092725F"/>
    <w:rsid w:val="009422B6"/>
    <w:rsid w:val="009713EF"/>
    <w:rsid w:val="00971DEE"/>
    <w:rsid w:val="009B7017"/>
    <w:rsid w:val="009D7DA8"/>
    <w:rsid w:val="009F430B"/>
    <w:rsid w:val="00A210D4"/>
    <w:rsid w:val="00A83239"/>
    <w:rsid w:val="00A927EA"/>
    <w:rsid w:val="00AA3EB8"/>
    <w:rsid w:val="00AE737F"/>
    <w:rsid w:val="00B03F59"/>
    <w:rsid w:val="00BA6D13"/>
    <w:rsid w:val="00BC2BE9"/>
    <w:rsid w:val="00BE31EE"/>
    <w:rsid w:val="00C03CEE"/>
    <w:rsid w:val="00C27BFD"/>
    <w:rsid w:val="00C50842"/>
    <w:rsid w:val="00C518BC"/>
    <w:rsid w:val="00C53921"/>
    <w:rsid w:val="00C77F76"/>
    <w:rsid w:val="00CA1F31"/>
    <w:rsid w:val="00CB5FAB"/>
    <w:rsid w:val="00CF0960"/>
    <w:rsid w:val="00D162B4"/>
    <w:rsid w:val="00D51447"/>
    <w:rsid w:val="00D6431A"/>
    <w:rsid w:val="00D6499E"/>
    <w:rsid w:val="00DC2862"/>
    <w:rsid w:val="00DE4AD9"/>
    <w:rsid w:val="00DE7D97"/>
    <w:rsid w:val="00E15D7E"/>
    <w:rsid w:val="00E27CD3"/>
    <w:rsid w:val="00E328F7"/>
    <w:rsid w:val="00E91F97"/>
    <w:rsid w:val="00F00932"/>
    <w:rsid w:val="00F331A5"/>
    <w:rsid w:val="00F469A0"/>
    <w:rsid w:val="00F475AD"/>
    <w:rsid w:val="00F9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78D3C1DD-D3C5-4E2F-B081-F501550C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447"/>
    <w:pPr>
      <w:spacing w:after="0" w:line="240" w:lineRule="auto"/>
    </w:pPr>
  </w:style>
  <w:style w:type="paragraph" w:styleId="a4">
    <w:name w:val="footnote text"/>
    <w:basedOn w:val="a"/>
    <w:link w:val="a5"/>
    <w:rsid w:val="00892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892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892569"/>
    <w:rPr>
      <w:vertAlign w:val="superscript"/>
    </w:rPr>
  </w:style>
  <w:style w:type="paragraph" w:styleId="a7">
    <w:name w:val="Plain Text"/>
    <w:basedOn w:val="a"/>
    <w:link w:val="a8"/>
    <w:uiPriority w:val="99"/>
    <w:rsid w:val="006B28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6B28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0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42CA"/>
  </w:style>
  <w:style w:type="paragraph" w:styleId="ab">
    <w:name w:val="footer"/>
    <w:basedOn w:val="a"/>
    <w:link w:val="ac"/>
    <w:uiPriority w:val="99"/>
    <w:unhideWhenUsed/>
    <w:rsid w:val="0040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42CA"/>
  </w:style>
  <w:style w:type="paragraph" w:styleId="ad">
    <w:name w:val="List Paragraph"/>
    <w:basedOn w:val="a"/>
    <w:uiPriority w:val="34"/>
    <w:qFormat/>
    <w:rsid w:val="00AA3EB8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rsid w:val="007228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228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22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11F8-78DA-4A2F-9F1F-9408DC57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Васильева</dc:creator>
  <cp:keywords/>
  <dc:description/>
  <cp:lastModifiedBy>Наталья Алексеевна Морозова</cp:lastModifiedBy>
  <cp:revision>25</cp:revision>
  <cp:lastPrinted>2023-07-25T06:21:00Z</cp:lastPrinted>
  <dcterms:created xsi:type="dcterms:W3CDTF">2022-11-29T13:32:00Z</dcterms:created>
  <dcterms:modified xsi:type="dcterms:W3CDTF">2024-01-31T14:13:00Z</dcterms:modified>
</cp:coreProperties>
</file>