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FE" w:rsidRDefault="00F631B8">
      <w:pPr>
        <w:pStyle w:val="a4"/>
      </w:pPr>
      <w:r>
        <w:t xml:space="preserve">2. Вклад </w:t>
      </w:r>
      <w:r>
        <w:rPr>
          <w:spacing w:val="-2"/>
        </w:rPr>
        <w:t>«Классический»</w:t>
      </w:r>
      <w:bookmarkStart w:id="0" w:name="_GoBack"/>
      <w:bookmarkEnd w:id="0"/>
    </w:p>
    <w:p w:rsidR="00CB41FE" w:rsidRDefault="00CB41FE">
      <w:pPr>
        <w:pStyle w:val="a3"/>
        <w:spacing w:before="5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358"/>
        <w:gridCol w:w="3650"/>
      </w:tblGrid>
      <w:tr w:rsidR="00CB41FE">
        <w:trPr>
          <w:trHeight w:val="275"/>
        </w:trPr>
        <w:tc>
          <w:tcPr>
            <w:tcW w:w="3022" w:type="dxa"/>
            <w:vMerge w:val="restart"/>
          </w:tcPr>
          <w:p w:rsidR="00CB41FE" w:rsidRDefault="00F631B8">
            <w:pPr>
              <w:pStyle w:val="TableParagraph"/>
              <w:spacing w:before="140" w:line="240" w:lineRule="auto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вклада,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руб.</w:t>
            </w:r>
          </w:p>
        </w:tc>
        <w:tc>
          <w:tcPr>
            <w:tcW w:w="7008" w:type="dxa"/>
            <w:gridSpan w:val="2"/>
          </w:tcPr>
          <w:p w:rsidR="00CB41FE" w:rsidRDefault="00F631B8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дней</w:t>
            </w:r>
          </w:p>
        </w:tc>
      </w:tr>
      <w:tr w:rsidR="00CB41FE">
        <w:trPr>
          <w:trHeight w:val="275"/>
        </w:trPr>
        <w:tc>
          <w:tcPr>
            <w:tcW w:w="3022" w:type="dxa"/>
            <w:vMerge/>
            <w:tcBorders>
              <w:top w:val="nil"/>
            </w:tcBorders>
          </w:tcPr>
          <w:p w:rsidR="00CB41FE" w:rsidRDefault="00CB41F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CB41FE" w:rsidRDefault="00F631B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184</w:t>
            </w:r>
          </w:p>
        </w:tc>
        <w:tc>
          <w:tcPr>
            <w:tcW w:w="3650" w:type="dxa"/>
          </w:tcPr>
          <w:p w:rsidR="00CB41FE" w:rsidRDefault="00F631B8">
            <w:pPr>
              <w:pStyle w:val="TableParagraph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365</w:t>
            </w:r>
          </w:p>
        </w:tc>
      </w:tr>
      <w:tr w:rsidR="00CB41FE">
        <w:trPr>
          <w:trHeight w:val="275"/>
        </w:trPr>
        <w:tc>
          <w:tcPr>
            <w:tcW w:w="3022" w:type="dxa"/>
          </w:tcPr>
          <w:p w:rsidR="00CB41FE" w:rsidRDefault="00F631B8">
            <w:pPr>
              <w:pStyle w:val="TableParagraph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100 </w:t>
            </w:r>
            <w:r>
              <w:rPr>
                <w:b/>
                <w:spacing w:val="-5"/>
                <w:sz w:val="24"/>
              </w:rPr>
              <w:t>000</w:t>
            </w:r>
          </w:p>
        </w:tc>
        <w:tc>
          <w:tcPr>
            <w:tcW w:w="3358" w:type="dxa"/>
          </w:tcPr>
          <w:p w:rsidR="00CB41FE" w:rsidRDefault="00F631B8">
            <w:pPr>
              <w:pStyle w:val="TableParagraph"/>
              <w:ind w:left="1310"/>
              <w:rPr>
                <w:sz w:val="24"/>
              </w:rPr>
            </w:pPr>
            <w:r>
              <w:rPr>
                <w:sz w:val="24"/>
              </w:rPr>
              <w:t>5.25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650" w:type="dxa"/>
          </w:tcPr>
          <w:p w:rsidR="00CB41FE" w:rsidRDefault="00F631B8">
            <w:pPr>
              <w:pStyle w:val="TableParagraph"/>
              <w:ind w:left="1457"/>
              <w:rPr>
                <w:sz w:val="24"/>
              </w:rPr>
            </w:pPr>
            <w:r>
              <w:rPr>
                <w:sz w:val="24"/>
              </w:rPr>
              <w:t>5.70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CB41FE" w:rsidRDefault="00F631B8">
      <w:pPr>
        <w:pStyle w:val="a4"/>
        <w:spacing w:before="274" w:line="274" w:lineRule="exact"/>
        <w:ind w:left="4576"/>
      </w:pPr>
      <w:r>
        <w:rPr>
          <w:spacing w:val="-2"/>
        </w:rPr>
        <w:t>Условия:</w:t>
      </w:r>
    </w:p>
    <w:p w:rsidR="00CB41FE" w:rsidRDefault="00F631B8">
      <w:pPr>
        <w:pStyle w:val="a5"/>
        <w:numPr>
          <w:ilvl w:val="0"/>
          <w:numId w:val="1"/>
        </w:numPr>
        <w:tabs>
          <w:tab w:val="left" w:pos="843"/>
        </w:tabs>
        <w:spacing w:line="274" w:lineRule="exact"/>
        <w:rPr>
          <w:sz w:val="24"/>
        </w:rPr>
      </w:pPr>
      <w:r>
        <w:rPr>
          <w:sz w:val="24"/>
        </w:rPr>
        <w:t>Вклад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пополняемым.</w:t>
      </w:r>
    </w:p>
    <w:p w:rsidR="00CB41FE" w:rsidRDefault="00F631B8">
      <w:pPr>
        <w:pStyle w:val="a5"/>
        <w:numPr>
          <w:ilvl w:val="0"/>
          <w:numId w:val="1"/>
        </w:numPr>
        <w:tabs>
          <w:tab w:val="left" w:pos="843"/>
        </w:tabs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допускается.</w:t>
      </w:r>
    </w:p>
    <w:p w:rsidR="00CB41FE" w:rsidRDefault="00F631B8">
      <w:pPr>
        <w:pStyle w:val="a5"/>
        <w:numPr>
          <w:ilvl w:val="0"/>
          <w:numId w:val="1"/>
        </w:numPr>
        <w:tabs>
          <w:tab w:val="left" w:pos="843"/>
        </w:tabs>
        <w:ind w:right="231"/>
        <w:jc w:val="both"/>
        <w:rPr>
          <w:sz w:val="24"/>
        </w:rPr>
      </w:pPr>
      <w:r>
        <w:rPr>
          <w:sz w:val="24"/>
        </w:rPr>
        <w:t xml:space="preserve">Выдача суммы вклада осуществляется в конце срока действия договора через кассу Банка или перечисляется на другой счет по реквизитам, указанным в заявлении </w:t>
      </w:r>
      <w:r>
        <w:rPr>
          <w:spacing w:val="-2"/>
          <w:sz w:val="24"/>
        </w:rPr>
        <w:t>Вкладчика.</w:t>
      </w:r>
    </w:p>
    <w:p w:rsidR="00CB41FE" w:rsidRDefault="00F631B8">
      <w:pPr>
        <w:pStyle w:val="a5"/>
        <w:numPr>
          <w:ilvl w:val="0"/>
          <w:numId w:val="1"/>
        </w:numPr>
        <w:tabs>
          <w:tab w:val="left" w:pos="843"/>
        </w:tabs>
        <w:ind w:right="229"/>
        <w:jc w:val="both"/>
        <w:rPr>
          <w:sz w:val="24"/>
        </w:rPr>
      </w:pPr>
      <w:r>
        <w:rPr>
          <w:sz w:val="24"/>
        </w:rPr>
        <w:t>Вклад не является автоматически пролонгируемым.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Клиент не забрал сумму</w:t>
      </w:r>
      <w:r>
        <w:rPr>
          <w:spacing w:val="62"/>
          <w:sz w:val="24"/>
        </w:rPr>
        <w:t xml:space="preserve"> </w:t>
      </w:r>
      <w:r>
        <w:rPr>
          <w:sz w:val="24"/>
        </w:rPr>
        <w:t>вклада,</w:t>
      </w:r>
      <w:r>
        <w:rPr>
          <w:spacing w:val="67"/>
          <w:sz w:val="24"/>
        </w:rPr>
        <w:t xml:space="preserve"> </w:t>
      </w: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6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67"/>
          <w:sz w:val="24"/>
        </w:rPr>
        <w:t xml:space="preserve"> </w:t>
      </w:r>
      <w:r>
        <w:rPr>
          <w:sz w:val="24"/>
        </w:rPr>
        <w:t>сумма</w:t>
      </w:r>
      <w:r>
        <w:rPr>
          <w:spacing w:val="66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66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67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sz w:val="24"/>
        </w:rPr>
        <w:t xml:space="preserve"> </w:t>
      </w:r>
      <w:r>
        <w:rPr>
          <w:sz w:val="24"/>
        </w:rPr>
        <w:t>счет</w:t>
      </w:r>
    </w:p>
    <w:p w:rsidR="00CB41FE" w:rsidRDefault="00F631B8">
      <w:pPr>
        <w:pStyle w:val="a3"/>
        <w:ind w:right="231" w:firstLine="0"/>
      </w:pPr>
      <w:r>
        <w:t>«Депозиты до востребования», и проценты начисляются по ставке вклада «До востребования», если иное не предусмотрено договором.</w:t>
      </w:r>
    </w:p>
    <w:p w:rsidR="00CB41FE" w:rsidRDefault="00F631B8">
      <w:pPr>
        <w:pStyle w:val="a5"/>
        <w:numPr>
          <w:ilvl w:val="0"/>
          <w:numId w:val="1"/>
        </w:numPr>
        <w:tabs>
          <w:tab w:val="left" w:pos="843"/>
        </w:tabs>
        <w:ind w:right="233"/>
        <w:jc w:val="both"/>
        <w:rPr>
          <w:sz w:val="24"/>
        </w:rPr>
      </w:pPr>
      <w:r>
        <w:rPr>
          <w:sz w:val="24"/>
        </w:rPr>
        <w:t>Проценты по вкладу начисляются на 1-е число каждого меся</w:t>
      </w:r>
      <w:r>
        <w:rPr>
          <w:sz w:val="24"/>
        </w:rPr>
        <w:t xml:space="preserve">ца и капитализируются (причисляются) во вклад в последний рабочий день месяца и в день окончания срока </w:t>
      </w:r>
      <w:r>
        <w:rPr>
          <w:spacing w:val="-2"/>
          <w:sz w:val="24"/>
        </w:rPr>
        <w:t>вклада.</w:t>
      </w:r>
    </w:p>
    <w:p w:rsidR="00CB41FE" w:rsidRDefault="00F631B8">
      <w:pPr>
        <w:pStyle w:val="a5"/>
        <w:numPr>
          <w:ilvl w:val="0"/>
          <w:numId w:val="1"/>
        </w:numPr>
        <w:tabs>
          <w:tab w:val="left" w:pos="843"/>
        </w:tabs>
        <w:spacing w:before="1"/>
        <w:jc w:val="both"/>
        <w:rPr>
          <w:sz w:val="24"/>
        </w:rPr>
      </w:pPr>
      <w:r>
        <w:rPr>
          <w:sz w:val="24"/>
        </w:rPr>
        <w:t>Выплата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вклад.</w:t>
      </w:r>
    </w:p>
    <w:p w:rsidR="00CB41FE" w:rsidRDefault="00F631B8">
      <w:pPr>
        <w:pStyle w:val="a5"/>
        <w:numPr>
          <w:ilvl w:val="0"/>
          <w:numId w:val="1"/>
        </w:numPr>
        <w:tabs>
          <w:tab w:val="left" w:pos="843"/>
        </w:tabs>
        <w:ind w:right="226"/>
        <w:jc w:val="both"/>
        <w:rPr>
          <w:sz w:val="24"/>
        </w:rPr>
      </w:pPr>
      <w:r>
        <w:rPr>
          <w:sz w:val="24"/>
        </w:rPr>
        <w:t>Выплата начисленных процентов возможна путем</w:t>
      </w:r>
      <w:r>
        <w:rPr>
          <w:spacing w:val="40"/>
          <w:sz w:val="24"/>
        </w:rPr>
        <w:t xml:space="preserve"> </w:t>
      </w:r>
      <w:r>
        <w:rPr>
          <w:sz w:val="24"/>
        </w:rPr>
        <w:t>перечисления на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</w:t>
      </w:r>
      <w:r>
        <w:rPr>
          <w:sz w:val="24"/>
        </w:rPr>
        <w:t>й карточный счет, открытый на имя Вкладчика. В данном случае проценты не капитализируются во вклад.</w:t>
      </w:r>
    </w:p>
    <w:p w:rsidR="00CB41FE" w:rsidRDefault="00F631B8">
      <w:pPr>
        <w:pStyle w:val="a3"/>
        <w:ind w:right="237" w:firstLine="0"/>
      </w:pPr>
      <w:r>
        <w:t>В рамках депозитного договора банковская карта АО НОКССБАНК выпускается бесплатно, на срок действия депозитного договора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ласс карты определяется банком).</w:t>
      </w:r>
    </w:p>
    <w:p w:rsidR="00CB41FE" w:rsidRDefault="00F631B8">
      <w:pPr>
        <w:pStyle w:val="a5"/>
        <w:numPr>
          <w:ilvl w:val="0"/>
          <w:numId w:val="1"/>
        </w:numPr>
        <w:tabs>
          <w:tab w:val="left" w:pos="843"/>
        </w:tabs>
        <w:ind w:right="234"/>
        <w:jc w:val="both"/>
        <w:rPr>
          <w:sz w:val="24"/>
        </w:rPr>
      </w:pPr>
      <w:r>
        <w:rPr>
          <w:sz w:val="24"/>
        </w:rPr>
        <w:t>При досрочном расторжении вклада проценты пересчитываются по ставке вклада «До востребования» за весь период фактического нахождения денежных средств во вкладе.</w:t>
      </w:r>
    </w:p>
    <w:sectPr w:rsidR="00CB41FE" w:rsidSect="00F631B8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E0E6C"/>
    <w:multiLevelType w:val="hybridMultilevel"/>
    <w:tmpl w:val="CABE93AE"/>
    <w:lvl w:ilvl="0" w:tplc="146E0978">
      <w:start w:val="1"/>
      <w:numFmt w:val="decimal"/>
      <w:lvlText w:val="%1."/>
      <w:lvlJc w:val="left"/>
      <w:pPr>
        <w:ind w:left="8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D61426">
      <w:numFmt w:val="bullet"/>
      <w:lvlText w:val="•"/>
      <w:lvlJc w:val="left"/>
      <w:pPr>
        <w:ind w:left="1783" w:hanging="360"/>
      </w:pPr>
      <w:rPr>
        <w:rFonts w:hint="default"/>
        <w:lang w:val="ru-RU" w:eastAsia="en-US" w:bidi="ar-SA"/>
      </w:rPr>
    </w:lvl>
    <w:lvl w:ilvl="2" w:tplc="5EE4AD46">
      <w:numFmt w:val="bullet"/>
      <w:lvlText w:val="•"/>
      <w:lvlJc w:val="left"/>
      <w:pPr>
        <w:ind w:left="2726" w:hanging="360"/>
      </w:pPr>
      <w:rPr>
        <w:rFonts w:hint="default"/>
        <w:lang w:val="ru-RU" w:eastAsia="en-US" w:bidi="ar-SA"/>
      </w:rPr>
    </w:lvl>
    <w:lvl w:ilvl="3" w:tplc="DB886B9A">
      <w:numFmt w:val="bullet"/>
      <w:lvlText w:val="•"/>
      <w:lvlJc w:val="left"/>
      <w:pPr>
        <w:ind w:left="3670" w:hanging="360"/>
      </w:pPr>
      <w:rPr>
        <w:rFonts w:hint="default"/>
        <w:lang w:val="ru-RU" w:eastAsia="en-US" w:bidi="ar-SA"/>
      </w:rPr>
    </w:lvl>
    <w:lvl w:ilvl="4" w:tplc="5C5CA588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5" w:tplc="F9527624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A5E4CDDC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7" w:tplc="F030EE16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8" w:tplc="68D89FB8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41FE"/>
    <w:rsid w:val="00CB41FE"/>
    <w:rsid w:val="00F6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3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"/>
      <w:ind w:left="388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4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3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"/>
      <w:ind w:left="3884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4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avepdf.com - Free Online PDF and Document Tools</dc:subject>
  <cp:lastModifiedBy>Тата</cp:lastModifiedBy>
  <cp:revision>3</cp:revision>
  <dcterms:created xsi:type="dcterms:W3CDTF">2024-04-02T11:10:00Z</dcterms:created>
  <dcterms:modified xsi:type="dcterms:W3CDTF">2024-04-02T11:10:00Z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2024-04-02T00:00:00Z</vt:filetime>
  </property>
  <property fmtid="{D5CDD505-2E9C-101B-9397-08002B2CF9AE}" pid="3" name="Producer">
    <vt:lpwstr>iLovePDF</vt:lpwstr>
  </property>
</Properties>
</file>